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30DF" w:rsidRDefault="00AA1BDF" w:rsidP="000030DF">
      <w:pPr>
        <w:jc w:val="center"/>
        <w:rPr>
          <w:rFonts w:ascii="Times New Roman" w:hAnsi="Times New Roman" w:cs="Times New Roman"/>
          <w:sz w:val="24"/>
          <w:szCs w:val="24"/>
          <w:lang w:val="sr-Latn-RS"/>
        </w:rPr>
      </w:pPr>
      <w:r>
        <w:rPr>
          <w:rFonts w:ascii="Times New Roman" w:hAnsi="Times New Roman" w:cs="Times New Roman"/>
          <w:sz w:val="24"/>
          <w:szCs w:val="24"/>
          <w:lang w:val="sr-Latn-RS"/>
        </w:rPr>
        <w:t xml:space="preserve"> </w:t>
      </w:r>
      <w:r w:rsidR="00F30EEC">
        <w:rPr>
          <w:rFonts w:ascii="Times New Roman" w:hAnsi="Times New Roman" w:cs="Times New Roman"/>
          <w:sz w:val="24"/>
          <w:szCs w:val="24"/>
          <w:lang w:val="sr-Latn-RS"/>
        </w:rPr>
        <w:t>IZVEŠTAJ O RADU JEDINSTVENOG ŠALTERA ZA PODRŠKU BIZNISU I IZDAVANJE GRAĐEVINSKIH DOZVOLA</w:t>
      </w:r>
    </w:p>
    <w:p w:rsidR="004035D8" w:rsidRDefault="003969A9" w:rsidP="004035D8">
      <w:pPr>
        <w:jc w:val="center"/>
        <w:rPr>
          <w:rFonts w:ascii="Times New Roman" w:hAnsi="Times New Roman" w:cs="Times New Roman"/>
          <w:sz w:val="24"/>
          <w:szCs w:val="24"/>
          <w:lang w:val="sr-Latn-RS"/>
        </w:rPr>
      </w:pPr>
      <w:r>
        <w:rPr>
          <w:rFonts w:ascii="Times New Roman" w:hAnsi="Times New Roman" w:cs="Times New Roman"/>
          <w:sz w:val="24"/>
          <w:szCs w:val="24"/>
          <w:lang w:val="sr-Latn-RS"/>
        </w:rPr>
        <w:t>ZA PERIOD 01.12.2016.-31.12</w:t>
      </w:r>
      <w:r w:rsidR="005B2A12">
        <w:rPr>
          <w:rFonts w:ascii="Times New Roman" w:hAnsi="Times New Roman" w:cs="Times New Roman"/>
          <w:sz w:val="24"/>
          <w:szCs w:val="24"/>
          <w:lang w:val="sr-Latn-RS"/>
        </w:rPr>
        <w:t>.2016</w:t>
      </w:r>
      <w:r w:rsidR="004035D8">
        <w:rPr>
          <w:rFonts w:ascii="Times New Roman" w:hAnsi="Times New Roman" w:cs="Times New Roman"/>
          <w:sz w:val="24"/>
          <w:szCs w:val="24"/>
          <w:lang w:val="sr-Latn-RS"/>
        </w:rPr>
        <w:t>.GODINE</w:t>
      </w:r>
    </w:p>
    <w:p w:rsidR="00860FDF" w:rsidRDefault="00860FDF" w:rsidP="00157FDB">
      <w:pPr>
        <w:rPr>
          <w:rFonts w:ascii="Times New Roman" w:hAnsi="Times New Roman" w:cs="Times New Roman"/>
          <w:sz w:val="24"/>
          <w:szCs w:val="24"/>
          <w:lang w:val="sr-Latn-RS"/>
        </w:rPr>
      </w:pPr>
    </w:p>
    <w:p w:rsidR="00431594" w:rsidRDefault="00431594" w:rsidP="00157FDB">
      <w:pPr>
        <w:rPr>
          <w:rFonts w:ascii="Times New Roman" w:hAnsi="Times New Roman" w:cs="Times New Roman"/>
          <w:sz w:val="24"/>
          <w:szCs w:val="24"/>
          <w:lang w:val="sr-Latn-RS"/>
        </w:rPr>
      </w:pPr>
    </w:p>
    <w:p w:rsidR="00431594" w:rsidRDefault="00431594" w:rsidP="00157FDB">
      <w:pPr>
        <w:rPr>
          <w:rFonts w:ascii="Times New Roman" w:hAnsi="Times New Roman" w:cs="Times New Roman"/>
          <w:sz w:val="24"/>
          <w:szCs w:val="24"/>
          <w:lang w:val="sr-Latn-RS"/>
        </w:rPr>
      </w:pPr>
    </w:p>
    <w:p w:rsidR="003969A9" w:rsidRPr="003969A9" w:rsidRDefault="003969A9" w:rsidP="003969A9">
      <w:pPr>
        <w:rPr>
          <w:rFonts w:ascii="Times New Roman" w:hAnsi="Times New Roman" w:cs="Times New Roman"/>
          <w:sz w:val="24"/>
          <w:szCs w:val="24"/>
          <w:lang w:val="sr-Latn-RS"/>
        </w:rPr>
      </w:pPr>
      <w:r w:rsidRPr="003969A9">
        <w:rPr>
          <w:rFonts w:ascii="Times New Roman" w:hAnsi="Times New Roman" w:cs="Times New Roman"/>
          <w:sz w:val="24"/>
          <w:szCs w:val="24"/>
          <w:lang w:val="sr-Latn-RS"/>
        </w:rPr>
        <w:t xml:space="preserve">U skupštinskoj sali Grada Leskovca, 21.12.2016.godine, održana je poseta Verifikacione komisije. Otvorenoj diskusiji, koju su vodili predstavnici komisije  Slavenka Javorina, Amra Jaganjac i Dragan Vujić uključeni u razgovoru su bili svi načelnici Gradskih uprava sa svojim članovima tj. izabranim radnim telima. Svaki od dole pobrojanih kriterijuma: </w:t>
      </w:r>
    </w:p>
    <w:p w:rsidR="003969A9" w:rsidRPr="003969A9" w:rsidRDefault="003969A9" w:rsidP="003969A9">
      <w:pPr>
        <w:rPr>
          <w:rFonts w:ascii="Times New Roman" w:hAnsi="Times New Roman" w:cs="Times New Roman"/>
          <w:sz w:val="24"/>
          <w:szCs w:val="24"/>
          <w:lang w:val="sr-Latn-RS"/>
        </w:rPr>
      </w:pPr>
      <w:r w:rsidRPr="003969A9">
        <w:rPr>
          <w:rFonts w:ascii="Times New Roman" w:hAnsi="Times New Roman" w:cs="Times New Roman"/>
          <w:sz w:val="24"/>
          <w:szCs w:val="24"/>
          <w:lang w:val="sr-Latn-RS"/>
        </w:rPr>
        <w:t>1.</w:t>
      </w:r>
      <w:r w:rsidRPr="003969A9">
        <w:rPr>
          <w:rFonts w:ascii="Times New Roman" w:hAnsi="Times New Roman" w:cs="Times New Roman"/>
          <w:sz w:val="24"/>
          <w:szCs w:val="24"/>
          <w:lang w:val="sr-Latn-RS"/>
        </w:rPr>
        <w:tab/>
        <w:t>Strategija lokalnog razvoja</w:t>
      </w:r>
    </w:p>
    <w:p w:rsidR="003969A9" w:rsidRPr="003969A9" w:rsidRDefault="003969A9" w:rsidP="003969A9">
      <w:pPr>
        <w:rPr>
          <w:rFonts w:ascii="Times New Roman" w:hAnsi="Times New Roman" w:cs="Times New Roman"/>
          <w:sz w:val="24"/>
          <w:szCs w:val="24"/>
          <w:lang w:val="sr-Latn-RS"/>
        </w:rPr>
      </w:pPr>
      <w:r w:rsidRPr="003969A9">
        <w:rPr>
          <w:rFonts w:ascii="Times New Roman" w:hAnsi="Times New Roman" w:cs="Times New Roman"/>
          <w:sz w:val="24"/>
          <w:szCs w:val="24"/>
          <w:lang w:val="sr-Latn-RS"/>
        </w:rPr>
        <w:t>2.</w:t>
      </w:r>
      <w:r w:rsidRPr="003969A9">
        <w:rPr>
          <w:rFonts w:ascii="Times New Roman" w:hAnsi="Times New Roman" w:cs="Times New Roman"/>
          <w:sz w:val="24"/>
          <w:szCs w:val="24"/>
          <w:lang w:val="sr-Latn-RS"/>
        </w:rPr>
        <w:tab/>
        <w:t>Organizaciona jedinica koja je zadužena za lokalni ekonomski razvoj</w:t>
      </w:r>
    </w:p>
    <w:p w:rsidR="003969A9" w:rsidRPr="003969A9" w:rsidRDefault="003969A9" w:rsidP="003969A9">
      <w:pPr>
        <w:rPr>
          <w:rFonts w:ascii="Times New Roman" w:hAnsi="Times New Roman" w:cs="Times New Roman"/>
          <w:sz w:val="24"/>
          <w:szCs w:val="24"/>
          <w:lang w:val="sr-Latn-RS"/>
        </w:rPr>
      </w:pPr>
      <w:r w:rsidRPr="003969A9">
        <w:rPr>
          <w:rFonts w:ascii="Times New Roman" w:hAnsi="Times New Roman" w:cs="Times New Roman"/>
          <w:sz w:val="24"/>
          <w:szCs w:val="24"/>
          <w:lang w:val="sr-Latn-RS"/>
        </w:rPr>
        <w:t>3.</w:t>
      </w:r>
      <w:r w:rsidRPr="003969A9">
        <w:rPr>
          <w:rFonts w:ascii="Times New Roman" w:hAnsi="Times New Roman" w:cs="Times New Roman"/>
          <w:sz w:val="24"/>
          <w:szCs w:val="24"/>
          <w:lang w:val="sr-Latn-RS"/>
        </w:rPr>
        <w:tab/>
        <w:t>Stalni privredni rast</w:t>
      </w:r>
    </w:p>
    <w:p w:rsidR="003969A9" w:rsidRPr="003969A9" w:rsidRDefault="003969A9" w:rsidP="003969A9">
      <w:pPr>
        <w:rPr>
          <w:rFonts w:ascii="Times New Roman" w:hAnsi="Times New Roman" w:cs="Times New Roman"/>
          <w:sz w:val="24"/>
          <w:szCs w:val="24"/>
          <w:lang w:val="sr-Latn-RS"/>
        </w:rPr>
      </w:pPr>
      <w:r w:rsidRPr="003969A9">
        <w:rPr>
          <w:rFonts w:ascii="Times New Roman" w:hAnsi="Times New Roman" w:cs="Times New Roman"/>
          <w:sz w:val="24"/>
          <w:szCs w:val="24"/>
          <w:lang w:val="sr-Latn-RS"/>
        </w:rPr>
        <w:t>4.</w:t>
      </w:r>
      <w:r w:rsidRPr="003969A9">
        <w:rPr>
          <w:rFonts w:ascii="Times New Roman" w:hAnsi="Times New Roman" w:cs="Times New Roman"/>
          <w:sz w:val="24"/>
          <w:szCs w:val="24"/>
          <w:lang w:val="sr-Latn-RS"/>
        </w:rPr>
        <w:tab/>
        <w:t>Sistem usluga za dobijanje građevinske dozvole</w:t>
      </w:r>
    </w:p>
    <w:p w:rsidR="003969A9" w:rsidRPr="003969A9" w:rsidRDefault="003969A9" w:rsidP="003969A9">
      <w:pPr>
        <w:rPr>
          <w:rFonts w:ascii="Times New Roman" w:hAnsi="Times New Roman" w:cs="Times New Roman"/>
          <w:sz w:val="24"/>
          <w:szCs w:val="24"/>
          <w:lang w:val="sr-Latn-RS"/>
        </w:rPr>
      </w:pPr>
      <w:r w:rsidRPr="003969A9">
        <w:rPr>
          <w:rFonts w:ascii="Times New Roman" w:hAnsi="Times New Roman" w:cs="Times New Roman"/>
          <w:sz w:val="24"/>
          <w:szCs w:val="24"/>
          <w:lang w:val="sr-Latn-RS"/>
        </w:rPr>
        <w:t>5.</w:t>
      </w:r>
      <w:r w:rsidRPr="003969A9">
        <w:rPr>
          <w:rFonts w:ascii="Times New Roman" w:hAnsi="Times New Roman" w:cs="Times New Roman"/>
          <w:sz w:val="24"/>
          <w:szCs w:val="24"/>
          <w:lang w:val="sr-Latn-RS"/>
        </w:rPr>
        <w:tab/>
        <w:t>Postojanje analitičke osnove za podršku lokalnoj poslvnoj zajednici i privlačenje investicija</w:t>
      </w:r>
    </w:p>
    <w:p w:rsidR="003969A9" w:rsidRPr="003969A9" w:rsidRDefault="003969A9" w:rsidP="003969A9">
      <w:pPr>
        <w:rPr>
          <w:rFonts w:ascii="Times New Roman" w:hAnsi="Times New Roman" w:cs="Times New Roman"/>
          <w:sz w:val="24"/>
          <w:szCs w:val="24"/>
          <w:lang w:val="sr-Latn-RS"/>
        </w:rPr>
      </w:pPr>
      <w:r w:rsidRPr="003969A9">
        <w:rPr>
          <w:rFonts w:ascii="Times New Roman" w:hAnsi="Times New Roman" w:cs="Times New Roman"/>
          <w:sz w:val="24"/>
          <w:szCs w:val="24"/>
          <w:lang w:val="sr-Latn-RS"/>
        </w:rPr>
        <w:t>6.</w:t>
      </w:r>
      <w:r w:rsidRPr="003969A9">
        <w:rPr>
          <w:rFonts w:ascii="Times New Roman" w:hAnsi="Times New Roman" w:cs="Times New Roman"/>
          <w:sz w:val="24"/>
          <w:szCs w:val="24"/>
          <w:lang w:val="sr-Latn-RS"/>
        </w:rPr>
        <w:tab/>
        <w:t>Aktivnosti za promociju ulaganja i kvaliteta poslovnog ambijenta u Gradu/Opštini</w:t>
      </w:r>
    </w:p>
    <w:p w:rsidR="003969A9" w:rsidRPr="003969A9" w:rsidRDefault="003969A9" w:rsidP="003969A9">
      <w:pPr>
        <w:rPr>
          <w:rFonts w:ascii="Times New Roman" w:hAnsi="Times New Roman" w:cs="Times New Roman"/>
          <w:sz w:val="24"/>
          <w:szCs w:val="24"/>
          <w:lang w:val="sr-Latn-RS"/>
        </w:rPr>
      </w:pPr>
      <w:r w:rsidRPr="003969A9">
        <w:rPr>
          <w:rFonts w:ascii="Times New Roman" w:hAnsi="Times New Roman" w:cs="Times New Roman"/>
          <w:sz w:val="24"/>
          <w:szCs w:val="24"/>
          <w:lang w:val="sr-Latn-RS"/>
        </w:rPr>
        <w:t>7.</w:t>
      </w:r>
      <w:r w:rsidRPr="003969A9">
        <w:rPr>
          <w:rFonts w:ascii="Times New Roman" w:hAnsi="Times New Roman" w:cs="Times New Roman"/>
          <w:sz w:val="24"/>
          <w:szCs w:val="24"/>
          <w:lang w:val="sr-Latn-RS"/>
        </w:rPr>
        <w:tab/>
        <w:t>Kreditna sposobnost i kreditna opravdanost</w:t>
      </w:r>
    </w:p>
    <w:p w:rsidR="003969A9" w:rsidRPr="003969A9" w:rsidRDefault="003969A9" w:rsidP="003969A9">
      <w:pPr>
        <w:rPr>
          <w:rFonts w:ascii="Times New Roman" w:hAnsi="Times New Roman" w:cs="Times New Roman"/>
          <w:sz w:val="24"/>
          <w:szCs w:val="24"/>
          <w:lang w:val="sr-Latn-RS"/>
        </w:rPr>
      </w:pPr>
      <w:r w:rsidRPr="003969A9">
        <w:rPr>
          <w:rFonts w:ascii="Times New Roman" w:hAnsi="Times New Roman" w:cs="Times New Roman"/>
          <w:sz w:val="24"/>
          <w:szCs w:val="24"/>
          <w:lang w:val="sr-Latn-RS"/>
        </w:rPr>
        <w:t>8.</w:t>
      </w:r>
      <w:r w:rsidRPr="003969A9">
        <w:rPr>
          <w:rFonts w:ascii="Times New Roman" w:hAnsi="Times New Roman" w:cs="Times New Roman"/>
          <w:sz w:val="24"/>
          <w:szCs w:val="24"/>
          <w:lang w:val="sr-Latn-RS"/>
        </w:rPr>
        <w:tab/>
        <w:t>Praćenje dinamike lokalnog tržišta rada i aktivan odnos prema utvrđenom stanju i potrebama</w:t>
      </w:r>
    </w:p>
    <w:p w:rsidR="003969A9" w:rsidRPr="003969A9" w:rsidRDefault="003969A9" w:rsidP="003969A9">
      <w:pPr>
        <w:rPr>
          <w:rFonts w:ascii="Times New Roman" w:hAnsi="Times New Roman" w:cs="Times New Roman"/>
          <w:sz w:val="24"/>
          <w:szCs w:val="24"/>
          <w:lang w:val="sr-Latn-RS"/>
        </w:rPr>
      </w:pPr>
      <w:r w:rsidRPr="003969A9">
        <w:rPr>
          <w:rFonts w:ascii="Times New Roman" w:hAnsi="Times New Roman" w:cs="Times New Roman"/>
          <w:sz w:val="24"/>
          <w:szCs w:val="24"/>
          <w:lang w:val="sr-Latn-RS"/>
        </w:rPr>
        <w:t>9.</w:t>
      </w:r>
      <w:r w:rsidRPr="003969A9">
        <w:rPr>
          <w:rFonts w:ascii="Times New Roman" w:hAnsi="Times New Roman" w:cs="Times New Roman"/>
          <w:sz w:val="24"/>
          <w:szCs w:val="24"/>
          <w:lang w:val="sr-Latn-RS"/>
        </w:rPr>
        <w:tab/>
        <w:t>Grad/Opština razvija saradnju javnog i privatnog sektora</w:t>
      </w:r>
    </w:p>
    <w:p w:rsidR="003969A9" w:rsidRPr="003969A9" w:rsidRDefault="003969A9" w:rsidP="003969A9">
      <w:pPr>
        <w:rPr>
          <w:rFonts w:ascii="Times New Roman" w:hAnsi="Times New Roman" w:cs="Times New Roman"/>
          <w:sz w:val="24"/>
          <w:szCs w:val="24"/>
          <w:lang w:val="sr-Latn-RS"/>
        </w:rPr>
      </w:pPr>
      <w:r w:rsidRPr="003969A9">
        <w:rPr>
          <w:rFonts w:ascii="Times New Roman" w:hAnsi="Times New Roman" w:cs="Times New Roman"/>
          <w:sz w:val="24"/>
          <w:szCs w:val="24"/>
          <w:lang w:val="sr-Latn-RS"/>
        </w:rPr>
        <w:t>10.</w:t>
      </w:r>
      <w:r w:rsidRPr="003969A9">
        <w:rPr>
          <w:rFonts w:ascii="Times New Roman" w:hAnsi="Times New Roman" w:cs="Times New Roman"/>
          <w:sz w:val="24"/>
          <w:szCs w:val="24"/>
          <w:lang w:val="sr-Latn-RS"/>
        </w:rPr>
        <w:tab/>
        <w:t>Adekvatnainfrastruktura i pouzdane komunikacione usluge</w:t>
      </w:r>
    </w:p>
    <w:p w:rsidR="003969A9" w:rsidRPr="003969A9" w:rsidRDefault="003969A9" w:rsidP="003969A9">
      <w:pPr>
        <w:rPr>
          <w:rFonts w:ascii="Times New Roman" w:hAnsi="Times New Roman" w:cs="Times New Roman"/>
          <w:sz w:val="24"/>
          <w:szCs w:val="24"/>
          <w:lang w:val="sr-Latn-RS"/>
        </w:rPr>
      </w:pPr>
      <w:r w:rsidRPr="003969A9">
        <w:rPr>
          <w:rFonts w:ascii="Times New Roman" w:hAnsi="Times New Roman" w:cs="Times New Roman"/>
          <w:sz w:val="24"/>
          <w:szCs w:val="24"/>
          <w:lang w:val="sr-Latn-RS"/>
        </w:rPr>
        <w:t>11.</w:t>
      </w:r>
      <w:r w:rsidRPr="003969A9">
        <w:rPr>
          <w:rFonts w:ascii="Times New Roman" w:hAnsi="Times New Roman" w:cs="Times New Roman"/>
          <w:sz w:val="24"/>
          <w:szCs w:val="24"/>
          <w:lang w:val="sr-Latn-RS"/>
        </w:rPr>
        <w:tab/>
        <w:t>Opština sprovodi transparentnu poresku politiku i politiku naplatetaksi kojima se stimuliše ekonomski razvoj</w:t>
      </w:r>
    </w:p>
    <w:p w:rsidR="003969A9" w:rsidRPr="003969A9" w:rsidRDefault="003969A9" w:rsidP="003969A9">
      <w:pPr>
        <w:rPr>
          <w:rFonts w:ascii="Times New Roman" w:hAnsi="Times New Roman" w:cs="Times New Roman"/>
          <w:sz w:val="24"/>
          <w:szCs w:val="24"/>
          <w:lang w:val="sr-Latn-RS"/>
        </w:rPr>
      </w:pPr>
      <w:r w:rsidRPr="003969A9">
        <w:rPr>
          <w:rFonts w:ascii="Times New Roman" w:hAnsi="Times New Roman" w:cs="Times New Roman"/>
          <w:sz w:val="24"/>
          <w:szCs w:val="24"/>
          <w:lang w:val="sr-Latn-RS"/>
        </w:rPr>
        <w:t>12.</w:t>
      </w:r>
      <w:r w:rsidRPr="003969A9">
        <w:rPr>
          <w:rFonts w:ascii="Times New Roman" w:hAnsi="Times New Roman" w:cs="Times New Roman"/>
          <w:sz w:val="24"/>
          <w:szCs w:val="24"/>
          <w:lang w:val="sr-Latn-RS"/>
        </w:rPr>
        <w:tab/>
        <w:t>Informacione tehnologije</w:t>
      </w:r>
    </w:p>
    <w:p w:rsidR="003969A9" w:rsidRPr="003969A9" w:rsidRDefault="003969A9" w:rsidP="003969A9">
      <w:pPr>
        <w:rPr>
          <w:rFonts w:ascii="Times New Roman" w:hAnsi="Times New Roman" w:cs="Times New Roman"/>
          <w:sz w:val="24"/>
          <w:szCs w:val="24"/>
          <w:lang w:val="sr-Latn-RS"/>
        </w:rPr>
      </w:pPr>
      <w:r w:rsidRPr="003969A9">
        <w:rPr>
          <w:rFonts w:ascii="Times New Roman" w:hAnsi="Times New Roman" w:cs="Times New Roman"/>
          <w:sz w:val="24"/>
          <w:szCs w:val="24"/>
          <w:lang w:val="sr-Latn-RS"/>
        </w:rPr>
        <w:t>ponaosob je predstavljen, prodiskutovano je o procentu ispunjenja, o uticaju predloga predhodnih verifikacionih komisija na unapređenje povoljnog poslovnog okruženja. Predloge za poboljšanje pojedinih kriterijuma dali su i ovogodišnji verifikatori. Visok procenat ispunjenja kriterijuma pod brojem 4., sistem usluga za dobijanje građevinske dozvole,  uticao je da verifikaciona komisija daje samo pozitivne komentare sa preporukom da se i u daljem radu profesionalno zalažemo.</w:t>
      </w:r>
    </w:p>
    <w:p w:rsidR="003969A9" w:rsidRPr="003969A9" w:rsidRDefault="003969A9" w:rsidP="003969A9">
      <w:pPr>
        <w:rPr>
          <w:rFonts w:ascii="Times New Roman" w:hAnsi="Times New Roman" w:cs="Times New Roman"/>
          <w:sz w:val="24"/>
          <w:szCs w:val="24"/>
          <w:lang w:val="sr-Latn-RS"/>
        </w:rPr>
      </w:pPr>
      <w:r w:rsidRPr="003969A9">
        <w:rPr>
          <w:rFonts w:ascii="Times New Roman" w:hAnsi="Times New Roman" w:cs="Times New Roman"/>
          <w:sz w:val="24"/>
          <w:szCs w:val="24"/>
          <w:lang w:val="sr-Latn-RS"/>
        </w:rPr>
        <w:t xml:space="preserve"> </w:t>
      </w:r>
    </w:p>
    <w:p w:rsidR="003969A9" w:rsidRPr="003969A9" w:rsidRDefault="003969A9" w:rsidP="003969A9">
      <w:pPr>
        <w:rPr>
          <w:rFonts w:ascii="Times New Roman" w:hAnsi="Times New Roman" w:cs="Times New Roman"/>
          <w:sz w:val="24"/>
          <w:szCs w:val="24"/>
          <w:lang w:val="sr-Latn-RS"/>
        </w:rPr>
      </w:pPr>
    </w:p>
    <w:p w:rsidR="003969A9" w:rsidRPr="003969A9" w:rsidRDefault="003969A9" w:rsidP="003969A9">
      <w:pPr>
        <w:rPr>
          <w:rFonts w:ascii="Times New Roman" w:hAnsi="Times New Roman" w:cs="Times New Roman"/>
          <w:sz w:val="24"/>
          <w:szCs w:val="24"/>
          <w:lang w:val="sr-Latn-RS"/>
        </w:rPr>
      </w:pPr>
    </w:p>
    <w:p w:rsidR="003969A9" w:rsidRPr="003969A9" w:rsidRDefault="003969A9" w:rsidP="003969A9">
      <w:pPr>
        <w:rPr>
          <w:rFonts w:ascii="Times New Roman" w:hAnsi="Times New Roman" w:cs="Times New Roman"/>
          <w:sz w:val="24"/>
          <w:szCs w:val="24"/>
          <w:lang w:val="sr-Latn-RS"/>
        </w:rPr>
      </w:pPr>
    </w:p>
    <w:p w:rsidR="003969A9" w:rsidRPr="003969A9" w:rsidRDefault="003969A9" w:rsidP="003969A9">
      <w:pPr>
        <w:rPr>
          <w:rFonts w:ascii="Times New Roman" w:hAnsi="Times New Roman" w:cs="Times New Roman"/>
          <w:sz w:val="24"/>
          <w:szCs w:val="24"/>
          <w:lang w:val="sr-Latn-RS"/>
        </w:rPr>
      </w:pPr>
      <w:r w:rsidRPr="003969A9">
        <w:rPr>
          <w:rFonts w:ascii="Times New Roman" w:hAnsi="Times New Roman" w:cs="Times New Roman"/>
          <w:sz w:val="24"/>
          <w:szCs w:val="24"/>
          <w:lang w:val="sr-Latn-RS"/>
        </w:rPr>
        <w:t xml:space="preserve">             U izveštajnom periodu sumirani su rezultati anketiranja. Upitnik su popunjavali fizička lica i ovlašćeni projektni biroi.</w:t>
      </w:r>
    </w:p>
    <w:p w:rsidR="003969A9" w:rsidRPr="003969A9" w:rsidRDefault="003969A9" w:rsidP="003969A9">
      <w:pPr>
        <w:rPr>
          <w:rFonts w:ascii="Times New Roman" w:hAnsi="Times New Roman" w:cs="Times New Roman"/>
          <w:sz w:val="24"/>
          <w:szCs w:val="24"/>
          <w:lang w:val="sr-Latn-RS"/>
        </w:rPr>
      </w:pPr>
      <w:r w:rsidRPr="003969A9">
        <w:rPr>
          <w:rFonts w:ascii="Times New Roman" w:hAnsi="Times New Roman" w:cs="Times New Roman"/>
          <w:sz w:val="24"/>
          <w:szCs w:val="24"/>
          <w:lang w:val="sr-Latn-RS"/>
        </w:rPr>
        <w:t>U periodu 01.11.2016.-15.12.2016.godine, izvršeno je anketiranje fizičkih lica i ovlašćenih projektnih biroa. Nakon prikupljanja ispunjenih anketnih listića,  rezultati su sumirani, izvršena je analiza sa predhodim rezultatima anketiranja od maja meseca tekuće godine i ista je objavljena na sajtu Objedinjene procedure.</w:t>
      </w:r>
    </w:p>
    <w:p w:rsidR="003969A9" w:rsidRPr="003969A9" w:rsidRDefault="003969A9" w:rsidP="003969A9">
      <w:pPr>
        <w:rPr>
          <w:rFonts w:ascii="Times New Roman" w:hAnsi="Times New Roman" w:cs="Times New Roman"/>
          <w:sz w:val="24"/>
          <w:szCs w:val="24"/>
          <w:lang w:val="sr-Latn-RS"/>
        </w:rPr>
      </w:pPr>
      <w:r w:rsidRPr="003969A9">
        <w:rPr>
          <w:rFonts w:ascii="Times New Roman" w:hAnsi="Times New Roman" w:cs="Times New Roman"/>
          <w:sz w:val="24"/>
          <w:szCs w:val="24"/>
          <w:lang w:val="sr-Latn-RS"/>
        </w:rPr>
        <w:t xml:space="preserve"> Kao i u predhodnom periodu anketiranja, koje je sprovedeno početkom  godine, ponovljena su anketna pitanja. Kako je prilikom biranja pitanja za prošlo anketiranje uzeto u obzir i način podnošenja zahteva, ponovljenim pitanjima dobijamo odgovore na osnovu kojih se može preciznije uraditi analiza upoređivanjem istih. </w:t>
      </w:r>
    </w:p>
    <w:p w:rsidR="003969A9" w:rsidRPr="003969A9" w:rsidRDefault="003969A9" w:rsidP="003969A9">
      <w:pPr>
        <w:rPr>
          <w:rFonts w:ascii="Times New Roman" w:hAnsi="Times New Roman" w:cs="Times New Roman"/>
          <w:sz w:val="24"/>
          <w:szCs w:val="24"/>
          <w:lang w:val="sr-Latn-RS"/>
        </w:rPr>
      </w:pPr>
    </w:p>
    <w:p w:rsidR="003969A9" w:rsidRPr="003969A9" w:rsidRDefault="003969A9" w:rsidP="003969A9">
      <w:pPr>
        <w:rPr>
          <w:rFonts w:ascii="Times New Roman" w:hAnsi="Times New Roman" w:cs="Times New Roman"/>
          <w:sz w:val="24"/>
          <w:szCs w:val="24"/>
          <w:lang w:val="sr-Latn-RS"/>
        </w:rPr>
      </w:pPr>
      <w:r w:rsidRPr="003969A9">
        <w:rPr>
          <w:rFonts w:ascii="Times New Roman" w:hAnsi="Times New Roman" w:cs="Times New Roman"/>
          <w:sz w:val="24"/>
          <w:szCs w:val="24"/>
          <w:lang w:val="sr-Latn-RS"/>
        </w:rPr>
        <w:t>Sledi grafički prikaz načina podnošenja zahteva za dobijanje dozvola za gradnju:</w:t>
      </w:r>
    </w:p>
    <w:p w:rsidR="003969A9" w:rsidRPr="003969A9" w:rsidRDefault="003969A9" w:rsidP="003969A9">
      <w:pPr>
        <w:rPr>
          <w:rFonts w:ascii="Times New Roman" w:hAnsi="Times New Roman" w:cs="Times New Roman"/>
          <w:sz w:val="24"/>
          <w:szCs w:val="24"/>
          <w:lang w:val="sr-Latn-RS"/>
        </w:rPr>
      </w:pPr>
      <w:r w:rsidRPr="003969A9">
        <w:rPr>
          <w:rFonts w:ascii="Times New Roman" w:hAnsi="Times New Roman" w:cs="Times New Roman"/>
          <w:sz w:val="24"/>
          <w:szCs w:val="24"/>
          <w:lang w:val="sr-Latn-RS"/>
        </w:rPr>
        <w:t xml:space="preserve"> </w:t>
      </w:r>
      <w:r w:rsidRPr="003F1FDB">
        <w:rPr>
          <w:rFonts w:ascii="Times New Roman" w:hAnsi="Times New Roman" w:cs="Times New Roman"/>
          <w:noProof/>
          <w:sz w:val="24"/>
          <w:szCs w:val="24"/>
          <w:u w:val="single"/>
        </w:rPr>
        <w:drawing>
          <wp:inline distT="0" distB="0" distL="0" distR="0" wp14:anchorId="6A2E38FF" wp14:editId="0A4D8015">
            <wp:extent cx="5476875" cy="3209925"/>
            <wp:effectExtent l="0" t="0" r="9525" b="952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bookmarkStart w:id="0" w:name="_GoBack"/>
      <w:bookmarkEnd w:id="0"/>
    </w:p>
    <w:p w:rsidR="003969A9" w:rsidRPr="003969A9" w:rsidRDefault="003969A9" w:rsidP="003969A9">
      <w:pPr>
        <w:rPr>
          <w:rFonts w:ascii="Times New Roman" w:hAnsi="Times New Roman" w:cs="Times New Roman"/>
          <w:sz w:val="24"/>
          <w:szCs w:val="24"/>
          <w:lang w:val="sr-Latn-RS"/>
        </w:rPr>
      </w:pPr>
    </w:p>
    <w:p w:rsidR="003969A9" w:rsidRPr="003969A9" w:rsidRDefault="003969A9" w:rsidP="003969A9">
      <w:pPr>
        <w:rPr>
          <w:rFonts w:ascii="Times New Roman" w:hAnsi="Times New Roman" w:cs="Times New Roman"/>
          <w:sz w:val="24"/>
          <w:szCs w:val="24"/>
          <w:lang w:val="sr-Latn-RS"/>
        </w:rPr>
      </w:pPr>
      <w:r w:rsidRPr="003969A9">
        <w:rPr>
          <w:rFonts w:ascii="Times New Roman" w:hAnsi="Times New Roman" w:cs="Times New Roman"/>
          <w:sz w:val="24"/>
          <w:szCs w:val="24"/>
          <w:lang w:val="sr-Latn-RS"/>
        </w:rPr>
        <w:t xml:space="preserve">       Upoređivanjem sumiranih rezultata anketiranja tokom gore pomenutog perioda sa predhodnim sumiranim podacima od maja meseca tekuće godine  uočavamo  sledeće:</w:t>
      </w:r>
    </w:p>
    <w:p w:rsidR="003969A9" w:rsidRPr="003969A9" w:rsidRDefault="003969A9" w:rsidP="003969A9">
      <w:pPr>
        <w:rPr>
          <w:rFonts w:ascii="Times New Roman" w:hAnsi="Times New Roman" w:cs="Times New Roman"/>
          <w:sz w:val="24"/>
          <w:szCs w:val="24"/>
          <w:lang w:val="sr-Latn-RS"/>
        </w:rPr>
      </w:pPr>
    </w:p>
    <w:p w:rsidR="003969A9" w:rsidRPr="003969A9" w:rsidRDefault="003969A9" w:rsidP="003969A9">
      <w:pPr>
        <w:rPr>
          <w:rFonts w:ascii="Times New Roman" w:hAnsi="Times New Roman" w:cs="Times New Roman"/>
          <w:sz w:val="24"/>
          <w:szCs w:val="24"/>
          <w:lang w:val="sr-Latn-RS"/>
        </w:rPr>
      </w:pPr>
      <w:r w:rsidRPr="003969A9">
        <w:rPr>
          <w:rFonts w:ascii="Times New Roman" w:hAnsi="Times New Roman" w:cs="Times New Roman"/>
          <w:sz w:val="24"/>
          <w:szCs w:val="24"/>
          <w:lang w:val="sr-Latn-RS"/>
        </w:rPr>
        <w:lastRenderedPageBreak/>
        <w:t xml:space="preserve">Početkom 2016.godine, od kada se počelo sa primenom elektronske građevinske dozvole, anketiranje koje je vršeno maja meseca, pokazalo je da se korisnici još uvek prilagođavaju na novi način primene. Korišćenjem istih anketnih pitanja u gore navedenom anketnom periodu, dobijamo odgovore koji su i bili za očekivati kada je u pitanju način podnošenja zahteva za dobijanje građevinske dozvole. Većina anketiranih  se izjasnila da se prilikom podnošenja elektronske dozvole obratila ovlašćenim projektnim biroima. Bez obzira što se na sajtu Objedinjene procedure nalaze  cenovnici u okviru kojih se mogu naći svi iznosi za uplatu i odgovarajući uplatni računi, građani su se ipak odlučili da za podnošenja zahteva angažuju ovlašćene projektne biroe. </w:t>
      </w:r>
    </w:p>
    <w:p w:rsidR="003969A9" w:rsidRPr="003969A9" w:rsidRDefault="003969A9" w:rsidP="003969A9">
      <w:pPr>
        <w:rPr>
          <w:rFonts w:ascii="Times New Roman" w:hAnsi="Times New Roman" w:cs="Times New Roman"/>
          <w:sz w:val="24"/>
          <w:szCs w:val="24"/>
          <w:lang w:val="sr-Latn-RS"/>
        </w:rPr>
      </w:pPr>
    </w:p>
    <w:p w:rsidR="003969A9" w:rsidRPr="003969A9" w:rsidRDefault="003969A9" w:rsidP="003969A9">
      <w:pPr>
        <w:rPr>
          <w:rFonts w:ascii="Times New Roman" w:hAnsi="Times New Roman" w:cs="Times New Roman"/>
          <w:sz w:val="24"/>
          <w:szCs w:val="24"/>
          <w:lang w:val="sr-Latn-RS"/>
        </w:rPr>
      </w:pPr>
      <w:r w:rsidRPr="003969A9">
        <w:rPr>
          <w:rFonts w:ascii="Times New Roman" w:hAnsi="Times New Roman" w:cs="Times New Roman"/>
          <w:sz w:val="24"/>
          <w:szCs w:val="24"/>
          <w:lang w:val="sr-Latn-RS"/>
        </w:rPr>
        <w:t>U navedenom periodu, ukupno je anketirano 40 lica. Od ukupnog broja ispitanih, izabrana su 10 projektna biroa a ostale ankete su popunili fizička i pravna lica koji su podnosili zahteve za informaciju o lokaciji, zahteve za izdavanje lokacijskih uslova, građevinske dozvole, odobrenja za izvođenje radova i upotrebne dozvole za objekte.</w:t>
      </w:r>
    </w:p>
    <w:p w:rsidR="003969A9" w:rsidRPr="003969A9" w:rsidRDefault="003969A9" w:rsidP="003969A9">
      <w:pPr>
        <w:rPr>
          <w:rFonts w:ascii="Times New Roman" w:hAnsi="Times New Roman" w:cs="Times New Roman"/>
          <w:sz w:val="24"/>
          <w:szCs w:val="24"/>
          <w:lang w:val="sr-Latn-RS"/>
        </w:rPr>
      </w:pPr>
    </w:p>
    <w:p w:rsidR="003969A9" w:rsidRPr="003969A9" w:rsidRDefault="003969A9" w:rsidP="003969A9">
      <w:pPr>
        <w:rPr>
          <w:rFonts w:ascii="Times New Roman" w:hAnsi="Times New Roman" w:cs="Times New Roman"/>
          <w:sz w:val="24"/>
          <w:szCs w:val="24"/>
          <w:lang w:val="sr-Latn-RS"/>
        </w:rPr>
      </w:pPr>
      <w:r w:rsidRPr="003969A9">
        <w:rPr>
          <w:rFonts w:ascii="Times New Roman" w:hAnsi="Times New Roman" w:cs="Times New Roman"/>
          <w:sz w:val="24"/>
          <w:szCs w:val="24"/>
          <w:lang w:val="sr-Latn-RS"/>
        </w:rPr>
        <w:t>Kako je i grafički prikazano, procentualni iznos samostalnog podnošenja zahteva za elektronsku dozvolu za gradnju iznosio je 36% u maju mesecu, dok se u ovom anektiranom periodu taj broj smanjio na čak 17%. U Upoređivanjem dobijenih rezultata, vrednost indikatora od 42%,  pokazuje procentualni iznos povećanja podnošenja zahteva putem projektnih biroa.  Povećanju indikatora prouzrokovali su opširni i komplikovani upitnici za pristup na sistem za podnošenje elektronske građevinske dozvole, problemi prilikom podnošenja zahteva za elektronski potpis, promena konfiguracije računara ( za slučaj da korisnik ima tip računara koji ne podržava odgovarajuću brzinu protoka podataka putem interneta) ili problem oko instaliranja odgovarajućih programa, pretraga potrebnih iznosa za uplatu koje su potrebne za podnošenje zahteva i izdavanja rešenja, posedovanje adekvatnog internet pretraživača kao i komplikovan način korišćenja aplikacije.</w:t>
      </w:r>
    </w:p>
    <w:p w:rsidR="00431594" w:rsidRDefault="00431594" w:rsidP="00157FDB">
      <w:pPr>
        <w:rPr>
          <w:rFonts w:ascii="Times New Roman" w:hAnsi="Times New Roman" w:cs="Times New Roman"/>
          <w:sz w:val="24"/>
          <w:szCs w:val="24"/>
          <w:lang w:val="sr-Latn-RS"/>
        </w:rPr>
      </w:pPr>
    </w:p>
    <w:p w:rsidR="004035D8" w:rsidRDefault="00431594" w:rsidP="003969A9">
      <w:pPr>
        <w:rPr>
          <w:rFonts w:ascii="Times New Roman" w:hAnsi="Times New Roman" w:cs="Times New Roman"/>
          <w:sz w:val="24"/>
          <w:szCs w:val="24"/>
          <w:lang w:val="sr-Latn-RS"/>
        </w:rPr>
      </w:pPr>
      <w:r>
        <w:rPr>
          <w:rFonts w:ascii="Times New Roman" w:hAnsi="Times New Roman" w:cs="Times New Roman"/>
          <w:sz w:val="24"/>
          <w:szCs w:val="24"/>
          <w:lang w:val="sr-Latn-RS"/>
        </w:rPr>
        <w:t xml:space="preserve">                 </w:t>
      </w:r>
    </w:p>
    <w:p w:rsidR="00A1366C" w:rsidRPr="00A1366C" w:rsidRDefault="00A1366C" w:rsidP="00A1366C">
      <w:pPr>
        <w:jc w:val="both"/>
        <w:rPr>
          <w:rFonts w:ascii="Times New Roman" w:hAnsi="Times New Roman" w:cs="Times New Roman"/>
          <w:sz w:val="24"/>
          <w:szCs w:val="24"/>
          <w:lang w:val="sr-Latn-RS"/>
        </w:rPr>
      </w:pPr>
    </w:p>
    <w:p w:rsidR="006C35AD" w:rsidRPr="00A1366C" w:rsidRDefault="006C35AD" w:rsidP="00A1366C">
      <w:pPr>
        <w:rPr>
          <w:rFonts w:ascii="Times New Roman" w:hAnsi="Times New Roman" w:cs="Times New Roman"/>
          <w:sz w:val="24"/>
          <w:szCs w:val="24"/>
          <w:lang w:val="sr-Latn-RS"/>
        </w:rPr>
      </w:pPr>
    </w:p>
    <w:p w:rsidR="00470CA5" w:rsidRPr="00860FDF" w:rsidRDefault="00470CA5" w:rsidP="006C35AD">
      <w:pPr>
        <w:rPr>
          <w:rFonts w:ascii="Times New Roman" w:hAnsi="Times New Roman" w:cs="Times New Roman"/>
          <w:sz w:val="24"/>
          <w:szCs w:val="24"/>
          <w:lang w:val="sr-Latn-RS"/>
        </w:rPr>
      </w:pPr>
      <w:r>
        <w:rPr>
          <w:rFonts w:ascii="Times New Roman" w:hAnsi="Times New Roman" w:cs="Times New Roman"/>
          <w:sz w:val="24"/>
          <w:szCs w:val="24"/>
          <w:lang w:val="sr-Latn-RS"/>
        </w:rPr>
        <w:t xml:space="preserve">    </w:t>
      </w:r>
    </w:p>
    <w:p w:rsidR="00325F4D" w:rsidRDefault="006469EA" w:rsidP="00F30EEC">
      <w:pPr>
        <w:pStyle w:val="NoSpacing"/>
        <w:rPr>
          <w:sz w:val="20"/>
          <w:szCs w:val="20"/>
          <w:lang w:val="sr-Latn-RS"/>
        </w:rPr>
      </w:pPr>
      <w:r>
        <w:rPr>
          <w:lang w:val="sr-Cyrl-RS"/>
        </w:rPr>
        <w:t xml:space="preserve">                     </w:t>
      </w:r>
      <w:r w:rsidR="006838D8">
        <w:t xml:space="preserve">                                                              </w:t>
      </w:r>
      <w:r w:rsidR="0056581E">
        <w:rPr>
          <w:sz w:val="20"/>
          <w:szCs w:val="20"/>
          <w:lang w:val="sr-Cyrl-RS"/>
        </w:rPr>
        <w:t xml:space="preserve"> </w:t>
      </w:r>
      <w:r w:rsidR="00F30EEC">
        <w:rPr>
          <w:sz w:val="20"/>
          <w:szCs w:val="20"/>
          <w:lang w:val="sr-Latn-RS"/>
        </w:rPr>
        <w:t xml:space="preserve">Koordinator Jedinstvenog šaltera za podršku biznisu i </w:t>
      </w:r>
    </w:p>
    <w:p w:rsidR="00F30EEC" w:rsidRDefault="00F30EEC" w:rsidP="00F30EEC">
      <w:pPr>
        <w:pStyle w:val="NoSpacing"/>
        <w:rPr>
          <w:sz w:val="20"/>
          <w:szCs w:val="20"/>
          <w:lang w:val="sr-Latn-RS"/>
        </w:rPr>
      </w:pPr>
      <w:r>
        <w:rPr>
          <w:sz w:val="20"/>
          <w:szCs w:val="20"/>
          <w:lang w:val="sr-Latn-RS"/>
        </w:rPr>
        <w:t xml:space="preserve">                                                                                                           Izdavanje građevinskih dozvola</w:t>
      </w:r>
    </w:p>
    <w:p w:rsidR="00F30EEC" w:rsidRDefault="00F30EEC" w:rsidP="00F30EEC">
      <w:pPr>
        <w:pStyle w:val="NoSpacing"/>
        <w:rPr>
          <w:sz w:val="20"/>
          <w:szCs w:val="20"/>
          <w:lang w:val="sr-Latn-RS"/>
        </w:rPr>
      </w:pPr>
      <w:r>
        <w:rPr>
          <w:sz w:val="20"/>
          <w:szCs w:val="20"/>
          <w:lang w:val="sr-Latn-RS"/>
        </w:rPr>
        <w:t xml:space="preserve">                                                                                             ___________________________________________</w:t>
      </w:r>
    </w:p>
    <w:p w:rsidR="00F30EEC" w:rsidRDefault="00F30EEC" w:rsidP="00F30EEC">
      <w:pPr>
        <w:pStyle w:val="NoSpacing"/>
        <w:rPr>
          <w:sz w:val="20"/>
          <w:szCs w:val="20"/>
          <w:lang w:val="sr-Latn-RS"/>
        </w:rPr>
      </w:pPr>
      <w:r>
        <w:rPr>
          <w:sz w:val="20"/>
          <w:szCs w:val="20"/>
          <w:lang w:val="sr-Latn-RS"/>
        </w:rPr>
        <w:t xml:space="preserve">                                                                                                                            Ilić Brankica</w:t>
      </w:r>
    </w:p>
    <w:p w:rsidR="00F30EEC" w:rsidRPr="00F30EEC" w:rsidRDefault="00F30EEC" w:rsidP="00F30EEC">
      <w:pPr>
        <w:pStyle w:val="NoSpacing"/>
        <w:rPr>
          <w:lang w:val="sr-Latn-RS"/>
        </w:rPr>
      </w:pPr>
      <w:r>
        <w:rPr>
          <w:sz w:val="20"/>
          <w:szCs w:val="20"/>
          <w:lang w:val="sr-Latn-RS"/>
        </w:rPr>
        <w:t xml:space="preserve">                                                                             </w:t>
      </w:r>
    </w:p>
    <w:p w:rsidR="00D20BF1" w:rsidRPr="00D20BF1" w:rsidRDefault="00D20BF1" w:rsidP="00D20BF1">
      <w:pPr>
        <w:pStyle w:val="NoSpacing"/>
      </w:pPr>
      <w:r>
        <w:rPr>
          <w:lang w:val="sr-Cyrl-RS"/>
        </w:rPr>
        <w:t xml:space="preserve">                                                                                              </w:t>
      </w:r>
    </w:p>
    <w:p w:rsidR="00833724" w:rsidRPr="007A3E43" w:rsidRDefault="00833724" w:rsidP="00833724">
      <w:pPr>
        <w:jc w:val="both"/>
        <w:rPr>
          <w:rFonts w:ascii="Times New Roman" w:hAnsi="Times New Roman" w:cs="Times New Roman"/>
          <w:sz w:val="24"/>
          <w:szCs w:val="24"/>
          <w:lang w:val="sr-Cyrl-RS"/>
        </w:rPr>
      </w:pPr>
    </w:p>
    <w:sectPr w:rsidR="00833724" w:rsidRPr="007A3E43" w:rsidSect="00F878F7">
      <w:pgSz w:w="11909" w:h="16834"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525543"/>
    <w:multiLevelType w:val="hybridMultilevel"/>
    <w:tmpl w:val="3C12F290"/>
    <w:lvl w:ilvl="0" w:tplc="F5BE28E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01B02D1"/>
    <w:multiLevelType w:val="hybridMultilevel"/>
    <w:tmpl w:val="49C0BA40"/>
    <w:lvl w:ilvl="0" w:tplc="C5CE2D7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4E9B"/>
    <w:rsid w:val="000030DF"/>
    <w:rsid w:val="000040A8"/>
    <w:rsid w:val="000328CA"/>
    <w:rsid w:val="00035B2B"/>
    <w:rsid w:val="0004735E"/>
    <w:rsid w:val="00057DCC"/>
    <w:rsid w:val="00067E62"/>
    <w:rsid w:val="00073448"/>
    <w:rsid w:val="000929B3"/>
    <w:rsid w:val="000958B0"/>
    <w:rsid w:val="000C6697"/>
    <w:rsid w:val="000C736A"/>
    <w:rsid w:val="000C73EB"/>
    <w:rsid w:val="000D1A6F"/>
    <w:rsid w:val="000D3158"/>
    <w:rsid w:val="000E0ABC"/>
    <w:rsid w:val="000E1BEC"/>
    <w:rsid w:val="000E78E9"/>
    <w:rsid w:val="000F533A"/>
    <w:rsid w:val="00102270"/>
    <w:rsid w:val="001154C1"/>
    <w:rsid w:val="00126F9C"/>
    <w:rsid w:val="00151DD4"/>
    <w:rsid w:val="00157FDB"/>
    <w:rsid w:val="00162558"/>
    <w:rsid w:val="00184459"/>
    <w:rsid w:val="00190604"/>
    <w:rsid w:val="001A36AD"/>
    <w:rsid w:val="001B7F33"/>
    <w:rsid w:val="001C50BF"/>
    <w:rsid w:val="001D5223"/>
    <w:rsid w:val="001E40B2"/>
    <w:rsid w:val="002007A4"/>
    <w:rsid w:val="00214D1E"/>
    <w:rsid w:val="00227DFB"/>
    <w:rsid w:val="002475D8"/>
    <w:rsid w:val="00275DB5"/>
    <w:rsid w:val="002A31CF"/>
    <w:rsid w:val="002B17B5"/>
    <w:rsid w:val="002C77F8"/>
    <w:rsid w:val="002E64B7"/>
    <w:rsid w:val="002E7F0F"/>
    <w:rsid w:val="002E7F83"/>
    <w:rsid w:val="002F1D63"/>
    <w:rsid w:val="002F3661"/>
    <w:rsid w:val="002F5844"/>
    <w:rsid w:val="002F618A"/>
    <w:rsid w:val="003019E5"/>
    <w:rsid w:val="00306386"/>
    <w:rsid w:val="00315518"/>
    <w:rsid w:val="003214E7"/>
    <w:rsid w:val="00321CF7"/>
    <w:rsid w:val="00325F4D"/>
    <w:rsid w:val="003270C1"/>
    <w:rsid w:val="00342CB9"/>
    <w:rsid w:val="00355625"/>
    <w:rsid w:val="00362D99"/>
    <w:rsid w:val="003969A9"/>
    <w:rsid w:val="003A013B"/>
    <w:rsid w:val="003B5BC7"/>
    <w:rsid w:val="003B7188"/>
    <w:rsid w:val="003C490E"/>
    <w:rsid w:val="003E4658"/>
    <w:rsid w:val="003E516C"/>
    <w:rsid w:val="00402758"/>
    <w:rsid w:val="004035D8"/>
    <w:rsid w:val="00416E6A"/>
    <w:rsid w:val="00425940"/>
    <w:rsid w:val="00431594"/>
    <w:rsid w:val="00442139"/>
    <w:rsid w:val="0047016B"/>
    <w:rsid w:val="00470CA5"/>
    <w:rsid w:val="00472E24"/>
    <w:rsid w:val="00482DFE"/>
    <w:rsid w:val="004A73C6"/>
    <w:rsid w:val="004B57A3"/>
    <w:rsid w:val="004C04AE"/>
    <w:rsid w:val="004D5F0B"/>
    <w:rsid w:val="004E2F7D"/>
    <w:rsid w:val="004E7236"/>
    <w:rsid w:val="00501205"/>
    <w:rsid w:val="00513272"/>
    <w:rsid w:val="00515F1E"/>
    <w:rsid w:val="00517490"/>
    <w:rsid w:val="00526342"/>
    <w:rsid w:val="005557B3"/>
    <w:rsid w:val="00555F8F"/>
    <w:rsid w:val="00562EFA"/>
    <w:rsid w:val="005649FD"/>
    <w:rsid w:val="0056581E"/>
    <w:rsid w:val="005837A7"/>
    <w:rsid w:val="00586799"/>
    <w:rsid w:val="005949E6"/>
    <w:rsid w:val="005A48C8"/>
    <w:rsid w:val="005A4C9E"/>
    <w:rsid w:val="005B2A12"/>
    <w:rsid w:val="005B774E"/>
    <w:rsid w:val="005E32CA"/>
    <w:rsid w:val="005E4C54"/>
    <w:rsid w:val="005E7997"/>
    <w:rsid w:val="005F06F3"/>
    <w:rsid w:val="0060332E"/>
    <w:rsid w:val="0060449A"/>
    <w:rsid w:val="00615089"/>
    <w:rsid w:val="006234CA"/>
    <w:rsid w:val="00627767"/>
    <w:rsid w:val="006439F3"/>
    <w:rsid w:val="006469EA"/>
    <w:rsid w:val="00652785"/>
    <w:rsid w:val="006531DA"/>
    <w:rsid w:val="006559FA"/>
    <w:rsid w:val="00666C34"/>
    <w:rsid w:val="0068302A"/>
    <w:rsid w:val="006838D8"/>
    <w:rsid w:val="00695FA3"/>
    <w:rsid w:val="006A7FDD"/>
    <w:rsid w:val="006C35AD"/>
    <w:rsid w:val="006D0EF0"/>
    <w:rsid w:val="006D41A2"/>
    <w:rsid w:val="006E080F"/>
    <w:rsid w:val="006F1C72"/>
    <w:rsid w:val="006F2F20"/>
    <w:rsid w:val="006F5DF2"/>
    <w:rsid w:val="00710E37"/>
    <w:rsid w:val="007315D8"/>
    <w:rsid w:val="007546CE"/>
    <w:rsid w:val="007632BB"/>
    <w:rsid w:val="00793907"/>
    <w:rsid w:val="007A3E43"/>
    <w:rsid w:val="007B4CA9"/>
    <w:rsid w:val="007B582A"/>
    <w:rsid w:val="007D747C"/>
    <w:rsid w:val="007E02F7"/>
    <w:rsid w:val="007E2818"/>
    <w:rsid w:val="007F20B9"/>
    <w:rsid w:val="007F7344"/>
    <w:rsid w:val="008066D7"/>
    <w:rsid w:val="00810C9A"/>
    <w:rsid w:val="008172C8"/>
    <w:rsid w:val="00820869"/>
    <w:rsid w:val="008229BF"/>
    <w:rsid w:val="00830DA8"/>
    <w:rsid w:val="00833724"/>
    <w:rsid w:val="00835AF9"/>
    <w:rsid w:val="008378C0"/>
    <w:rsid w:val="00843758"/>
    <w:rsid w:val="00844FE4"/>
    <w:rsid w:val="00860FDF"/>
    <w:rsid w:val="0086382B"/>
    <w:rsid w:val="0087208B"/>
    <w:rsid w:val="00893483"/>
    <w:rsid w:val="008941AC"/>
    <w:rsid w:val="008A67FE"/>
    <w:rsid w:val="008B227E"/>
    <w:rsid w:val="008B59A1"/>
    <w:rsid w:val="008C7669"/>
    <w:rsid w:val="008D3A7E"/>
    <w:rsid w:val="008D7D44"/>
    <w:rsid w:val="00910322"/>
    <w:rsid w:val="009119F9"/>
    <w:rsid w:val="009215A9"/>
    <w:rsid w:val="00955C17"/>
    <w:rsid w:val="0096037E"/>
    <w:rsid w:val="00960A4B"/>
    <w:rsid w:val="00965D13"/>
    <w:rsid w:val="0097222B"/>
    <w:rsid w:val="00987389"/>
    <w:rsid w:val="0099637D"/>
    <w:rsid w:val="009A00F4"/>
    <w:rsid w:val="009A37B4"/>
    <w:rsid w:val="009B61F4"/>
    <w:rsid w:val="009E1313"/>
    <w:rsid w:val="009E6FCF"/>
    <w:rsid w:val="009F4817"/>
    <w:rsid w:val="00A0158E"/>
    <w:rsid w:val="00A1366C"/>
    <w:rsid w:val="00A161B7"/>
    <w:rsid w:val="00A26365"/>
    <w:rsid w:val="00A32D1F"/>
    <w:rsid w:val="00A33CBD"/>
    <w:rsid w:val="00A3620A"/>
    <w:rsid w:val="00A473CD"/>
    <w:rsid w:val="00A478C9"/>
    <w:rsid w:val="00A547C9"/>
    <w:rsid w:val="00A60F0C"/>
    <w:rsid w:val="00A72557"/>
    <w:rsid w:val="00A87513"/>
    <w:rsid w:val="00A9414F"/>
    <w:rsid w:val="00A94B04"/>
    <w:rsid w:val="00A95BFF"/>
    <w:rsid w:val="00A96D76"/>
    <w:rsid w:val="00A96F2B"/>
    <w:rsid w:val="00AA1BDF"/>
    <w:rsid w:val="00AC5AA0"/>
    <w:rsid w:val="00AD4961"/>
    <w:rsid w:val="00AE1212"/>
    <w:rsid w:val="00AF0C24"/>
    <w:rsid w:val="00B15CA4"/>
    <w:rsid w:val="00B41AE6"/>
    <w:rsid w:val="00B465E2"/>
    <w:rsid w:val="00B503F5"/>
    <w:rsid w:val="00BA10EF"/>
    <w:rsid w:val="00BA1C79"/>
    <w:rsid w:val="00BA6894"/>
    <w:rsid w:val="00BB015C"/>
    <w:rsid w:val="00BC2DAC"/>
    <w:rsid w:val="00BD3007"/>
    <w:rsid w:val="00BD4BA6"/>
    <w:rsid w:val="00BE0BAF"/>
    <w:rsid w:val="00BE2A0D"/>
    <w:rsid w:val="00BE590C"/>
    <w:rsid w:val="00C04061"/>
    <w:rsid w:val="00C0671B"/>
    <w:rsid w:val="00C0717F"/>
    <w:rsid w:val="00C101F9"/>
    <w:rsid w:val="00C21773"/>
    <w:rsid w:val="00C23175"/>
    <w:rsid w:val="00C438F2"/>
    <w:rsid w:val="00C44E9B"/>
    <w:rsid w:val="00C45D0E"/>
    <w:rsid w:val="00C4643D"/>
    <w:rsid w:val="00C46448"/>
    <w:rsid w:val="00C7487A"/>
    <w:rsid w:val="00C77A78"/>
    <w:rsid w:val="00C817C6"/>
    <w:rsid w:val="00C91F02"/>
    <w:rsid w:val="00CA38D1"/>
    <w:rsid w:val="00CA488E"/>
    <w:rsid w:val="00CB2756"/>
    <w:rsid w:val="00CB494E"/>
    <w:rsid w:val="00CB6DB2"/>
    <w:rsid w:val="00CC5EB9"/>
    <w:rsid w:val="00CF6F75"/>
    <w:rsid w:val="00D00B33"/>
    <w:rsid w:val="00D0137B"/>
    <w:rsid w:val="00D20213"/>
    <w:rsid w:val="00D20BF1"/>
    <w:rsid w:val="00D31434"/>
    <w:rsid w:val="00D44088"/>
    <w:rsid w:val="00D4520C"/>
    <w:rsid w:val="00D45BF4"/>
    <w:rsid w:val="00D61242"/>
    <w:rsid w:val="00D65EFA"/>
    <w:rsid w:val="00D73595"/>
    <w:rsid w:val="00D74B48"/>
    <w:rsid w:val="00D75638"/>
    <w:rsid w:val="00D84E18"/>
    <w:rsid w:val="00D907E3"/>
    <w:rsid w:val="00D933B8"/>
    <w:rsid w:val="00D973C8"/>
    <w:rsid w:val="00DA11C1"/>
    <w:rsid w:val="00DA2214"/>
    <w:rsid w:val="00DA6958"/>
    <w:rsid w:val="00DB59F9"/>
    <w:rsid w:val="00DC391D"/>
    <w:rsid w:val="00DD41BF"/>
    <w:rsid w:val="00DE41AD"/>
    <w:rsid w:val="00E053A9"/>
    <w:rsid w:val="00E1338C"/>
    <w:rsid w:val="00E13458"/>
    <w:rsid w:val="00E3234F"/>
    <w:rsid w:val="00E501DE"/>
    <w:rsid w:val="00E666CE"/>
    <w:rsid w:val="00E67E82"/>
    <w:rsid w:val="00E727BF"/>
    <w:rsid w:val="00E83165"/>
    <w:rsid w:val="00E85E1D"/>
    <w:rsid w:val="00E877BE"/>
    <w:rsid w:val="00E9390A"/>
    <w:rsid w:val="00EA0118"/>
    <w:rsid w:val="00EA49CB"/>
    <w:rsid w:val="00EA52DD"/>
    <w:rsid w:val="00EA73DF"/>
    <w:rsid w:val="00ED325A"/>
    <w:rsid w:val="00EF6191"/>
    <w:rsid w:val="00EF74F3"/>
    <w:rsid w:val="00F06C6E"/>
    <w:rsid w:val="00F20A89"/>
    <w:rsid w:val="00F30EEC"/>
    <w:rsid w:val="00F36FCB"/>
    <w:rsid w:val="00F4006C"/>
    <w:rsid w:val="00F44B46"/>
    <w:rsid w:val="00F54991"/>
    <w:rsid w:val="00F624E4"/>
    <w:rsid w:val="00F63C2E"/>
    <w:rsid w:val="00F81435"/>
    <w:rsid w:val="00F878F7"/>
    <w:rsid w:val="00F91F08"/>
    <w:rsid w:val="00F930EB"/>
    <w:rsid w:val="00FA7192"/>
    <w:rsid w:val="00FB4290"/>
    <w:rsid w:val="00FB6EA8"/>
    <w:rsid w:val="00FB71D5"/>
    <w:rsid w:val="00FB7F4B"/>
    <w:rsid w:val="00FE60FF"/>
    <w:rsid w:val="00FF24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2EF254E-AD18-4775-A069-00492700C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E7F83"/>
    <w:pPr>
      <w:spacing w:after="0" w:line="240" w:lineRule="auto"/>
    </w:pPr>
  </w:style>
  <w:style w:type="paragraph" w:styleId="ListParagraph">
    <w:name w:val="List Paragraph"/>
    <w:basedOn w:val="Normal"/>
    <w:uiPriority w:val="34"/>
    <w:qFormat/>
    <w:rsid w:val="00FA7192"/>
    <w:pPr>
      <w:ind w:left="720"/>
      <w:contextualSpacing/>
    </w:pPr>
  </w:style>
  <w:style w:type="character" w:styleId="Hyperlink">
    <w:name w:val="Hyperlink"/>
    <w:basedOn w:val="DefaultParagraphFont"/>
    <w:uiPriority w:val="99"/>
    <w:unhideWhenUsed/>
    <w:rsid w:val="0040275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387926">
      <w:bodyDiv w:val="1"/>
      <w:marLeft w:val="0"/>
      <w:marRight w:val="0"/>
      <w:marTop w:val="0"/>
      <w:marBottom w:val="0"/>
      <w:divBdr>
        <w:top w:val="none" w:sz="0" w:space="0" w:color="auto"/>
        <w:left w:val="none" w:sz="0" w:space="0" w:color="auto"/>
        <w:bottom w:val="none" w:sz="0" w:space="0" w:color="auto"/>
        <w:right w:val="none" w:sz="0" w:space="0" w:color="auto"/>
      </w:divBdr>
    </w:div>
    <w:div w:id="385643080">
      <w:bodyDiv w:val="1"/>
      <w:marLeft w:val="0"/>
      <w:marRight w:val="0"/>
      <w:marTop w:val="0"/>
      <w:marBottom w:val="0"/>
      <w:divBdr>
        <w:top w:val="none" w:sz="0" w:space="0" w:color="auto"/>
        <w:left w:val="none" w:sz="0" w:space="0" w:color="auto"/>
        <w:bottom w:val="none" w:sz="0" w:space="0" w:color="auto"/>
        <w:right w:val="none" w:sz="0" w:space="0" w:color="auto"/>
      </w:divBdr>
    </w:div>
    <w:div w:id="1531717961">
      <w:bodyDiv w:val="1"/>
      <w:marLeft w:val="0"/>
      <w:marRight w:val="0"/>
      <w:marTop w:val="0"/>
      <w:marBottom w:val="0"/>
      <w:divBdr>
        <w:top w:val="none" w:sz="0" w:space="0" w:color="auto"/>
        <w:left w:val="none" w:sz="0" w:space="0" w:color="auto"/>
        <w:bottom w:val="none" w:sz="0" w:space="0" w:color="auto"/>
        <w:right w:val="none" w:sz="0" w:space="0" w:color="auto"/>
      </w:divBdr>
      <w:divsChild>
        <w:div w:id="1419327093">
          <w:marLeft w:val="0"/>
          <w:marRight w:val="0"/>
          <w:marTop w:val="0"/>
          <w:marBottom w:val="0"/>
          <w:divBdr>
            <w:top w:val="none" w:sz="0" w:space="0" w:color="auto"/>
            <w:left w:val="none" w:sz="0" w:space="0" w:color="auto"/>
            <w:bottom w:val="none" w:sz="0" w:space="0" w:color="auto"/>
            <w:right w:val="none" w:sz="0" w:space="0" w:color="auto"/>
          </w:divBdr>
        </w:div>
        <w:div w:id="748230106">
          <w:marLeft w:val="0"/>
          <w:marRight w:val="0"/>
          <w:marTop w:val="0"/>
          <w:marBottom w:val="0"/>
          <w:divBdr>
            <w:top w:val="none" w:sz="0" w:space="0" w:color="auto"/>
            <w:left w:val="none" w:sz="0" w:space="0" w:color="auto"/>
            <w:bottom w:val="none" w:sz="0" w:space="0" w:color="auto"/>
            <w:right w:val="none" w:sz="0" w:space="0" w:color="auto"/>
          </w:divBdr>
        </w:div>
        <w:div w:id="1766265401">
          <w:marLeft w:val="0"/>
          <w:marRight w:val="0"/>
          <w:marTop w:val="0"/>
          <w:marBottom w:val="0"/>
          <w:divBdr>
            <w:top w:val="none" w:sz="0" w:space="0" w:color="auto"/>
            <w:left w:val="none" w:sz="0" w:space="0" w:color="auto"/>
            <w:bottom w:val="none" w:sz="0" w:space="0" w:color="auto"/>
            <w:right w:val="none" w:sz="0" w:space="0" w:color="auto"/>
          </w:divBdr>
        </w:div>
        <w:div w:id="806817751">
          <w:marLeft w:val="0"/>
          <w:marRight w:val="0"/>
          <w:marTop w:val="0"/>
          <w:marBottom w:val="0"/>
          <w:divBdr>
            <w:top w:val="none" w:sz="0" w:space="0" w:color="auto"/>
            <w:left w:val="none" w:sz="0" w:space="0" w:color="auto"/>
            <w:bottom w:val="none" w:sz="0" w:space="0" w:color="auto"/>
            <w:right w:val="none" w:sz="0" w:space="0" w:color="auto"/>
          </w:divBdr>
        </w:div>
        <w:div w:id="10636804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hart" Target="charts/chart1.xml"/><Relationship Id="rId5" Type="http://schemas.openxmlformats.org/officeDocument/2006/relationships/webSettings" Target="webSettings.xml"/><Relationship Id="rId4" Type="http://schemas.openxmlformats.org/officeDocument/2006/relationships/settings" Target="settings.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r-Latn-RS" b="1"/>
              <a:t>REZULTATI ANKETIRANJA-ANALIZA</a:t>
            </a:r>
            <a:endParaRPr lang="sr-Cyrl-RS" b="1"/>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6.0113735783027124E-2"/>
          <c:y val="0.14718253968253969"/>
          <c:w val="0.9190529308836396"/>
          <c:h val="0.66998656417947755"/>
        </c:manualLayout>
      </c:layout>
      <c:barChart>
        <c:barDir val="col"/>
        <c:grouping val="clustered"/>
        <c:varyColors val="0"/>
        <c:ser>
          <c:idx val="0"/>
          <c:order val="0"/>
          <c:tx>
            <c:strRef>
              <c:f>Sheet1!$B$1</c:f>
              <c:strCache>
                <c:ptCount val="1"/>
                <c:pt idx="0">
                  <c:v>samostalno</c:v>
                </c:pt>
              </c:strCache>
            </c:strRef>
          </c:tx>
          <c:spPr>
            <a:solidFill>
              <a:schemeClr val="accent1"/>
            </a:solidFill>
            <a:ln>
              <a:noFill/>
            </a:ln>
            <a:effectLst/>
          </c:spPr>
          <c:invertIfNegative val="0"/>
          <c:cat>
            <c:strRef>
              <c:f>Sheet1!$A$2:$A$5</c:f>
              <c:strCache>
                <c:ptCount val="2"/>
                <c:pt idx="0">
                  <c:v>maj 2016</c:v>
                </c:pt>
                <c:pt idx="1">
                  <c:v>decembar 2016</c:v>
                </c:pt>
              </c:strCache>
            </c:strRef>
          </c:cat>
          <c:val>
            <c:numRef>
              <c:f>Sheet1!$B$2:$B$5</c:f>
              <c:numCache>
                <c:formatCode>General</c:formatCode>
                <c:ptCount val="4"/>
                <c:pt idx="0">
                  <c:v>36</c:v>
                </c:pt>
                <c:pt idx="1">
                  <c:v>17</c:v>
                </c:pt>
              </c:numCache>
            </c:numRef>
          </c:val>
        </c:ser>
        <c:ser>
          <c:idx val="1"/>
          <c:order val="1"/>
          <c:tx>
            <c:strRef>
              <c:f>Sheet1!$C$1</c:f>
              <c:strCache>
                <c:ptCount val="1"/>
                <c:pt idx="0">
                  <c:v>ovlašćeni projektni biro</c:v>
                </c:pt>
              </c:strCache>
            </c:strRef>
          </c:tx>
          <c:spPr>
            <a:solidFill>
              <a:schemeClr val="accent2"/>
            </a:solidFill>
            <a:ln>
              <a:noFill/>
            </a:ln>
            <a:effectLst/>
          </c:spPr>
          <c:invertIfNegative val="0"/>
          <c:cat>
            <c:strRef>
              <c:f>Sheet1!$A$2:$A$5</c:f>
              <c:strCache>
                <c:ptCount val="2"/>
                <c:pt idx="0">
                  <c:v>maj 2016</c:v>
                </c:pt>
                <c:pt idx="1">
                  <c:v>decembar 2016</c:v>
                </c:pt>
              </c:strCache>
            </c:strRef>
          </c:cat>
          <c:val>
            <c:numRef>
              <c:f>Sheet1!$C$2:$C$5</c:f>
              <c:numCache>
                <c:formatCode>General</c:formatCode>
                <c:ptCount val="4"/>
                <c:pt idx="0">
                  <c:v>64</c:v>
                </c:pt>
                <c:pt idx="1">
                  <c:v>83</c:v>
                </c:pt>
              </c:numCache>
            </c:numRef>
          </c:val>
        </c:ser>
        <c:ser>
          <c:idx val="2"/>
          <c:order val="2"/>
          <c:tx>
            <c:strRef>
              <c:f>Sheet1!$D$1</c:f>
              <c:strCache>
                <c:ptCount val="1"/>
                <c:pt idx="0">
                  <c:v>indikator</c:v>
                </c:pt>
              </c:strCache>
            </c:strRef>
          </c:tx>
          <c:spPr>
            <a:solidFill>
              <a:schemeClr val="accent3"/>
            </a:solidFill>
            <a:ln>
              <a:noFill/>
            </a:ln>
            <a:effectLst/>
          </c:spPr>
          <c:invertIfNegative val="0"/>
          <c:cat>
            <c:strRef>
              <c:f>Sheet1!$A$2:$A$5</c:f>
              <c:strCache>
                <c:ptCount val="2"/>
                <c:pt idx="0">
                  <c:v>maj 2016</c:v>
                </c:pt>
                <c:pt idx="1">
                  <c:v>decembar 2016</c:v>
                </c:pt>
              </c:strCache>
            </c:strRef>
          </c:cat>
          <c:val>
            <c:numRef>
              <c:f>Sheet1!$D$2:$D$5</c:f>
              <c:numCache>
                <c:formatCode>General</c:formatCode>
                <c:ptCount val="4"/>
                <c:pt idx="0">
                  <c:v>28</c:v>
                </c:pt>
                <c:pt idx="1">
                  <c:v>66</c:v>
                </c:pt>
              </c:numCache>
            </c:numRef>
          </c:val>
        </c:ser>
        <c:dLbls>
          <c:showLegendKey val="0"/>
          <c:showVal val="0"/>
          <c:showCatName val="0"/>
          <c:showSerName val="0"/>
          <c:showPercent val="0"/>
          <c:showBubbleSize val="0"/>
        </c:dLbls>
        <c:gapWidth val="219"/>
        <c:overlap val="-27"/>
        <c:axId val="1939200704"/>
        <c:axId val="1939201248"/>
      </c:barChart>
      <c:catAx>
        <c:axId val="19392007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39201248"/>
        <c:crosses val="autoZero"/>
        <c:auto val="1"/>
        <c:lblAlgn val="ctr"/>
        <c:lblOffset val="100"/>
        <c:noMultiLvlLbl val="0"/>
      </c:catAx>
      <c:valAx>
        <c:axId val="19392012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392007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F0FEA2-5DB2-43A3-BE32-D0046CAEC0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5497</TotalTime>
  <Pages>3</Pages>
  <Words>825</Words>
  <Characters>4704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ALER 5</dc:creator>
  <cp:lastModifiedBy>marina</cp:lastModifiedBy>
  <cp:revision>145</cp:revision>
  <cp:lastPrinted>2014-10-20T09:37:00Z</cp:lastPrinted>
  <dcterms:created xsi:type="dcterms:W3CDTF">2013-08-02T06:27:00Z</dcterms:created>
  <dcterms:modified xsi:type="dcterms:W3CDTF">2017-01-10T10:30:00Z</dcterms:modified>
</cp:coreProperties>
</file>