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0BF1" w:rsidRPr="00D20BF1" w:rsidRDefault="00D20BF1" w:rsidP="00D20BF1">
      <w:pPr>
        <w:pStyle w:val="NoSpacing"/>
      </w:pPr>
      <w:r>
        <w:rPr>
          <w:lang w:val="sr-Cyrl-RS"/>
        </w:rPr>
        <w:t xml:space="preserve">                                                                                              </w:t>
      </w:r>
    </w:p>
    <w:p w:rsidR="00DD7EB5" w:rsidRPr="00DD7EB5" w:rsidRDefault="00DD7EB5" w:rsidP="00DD7EB5">
      <w:pPr>
        <w:jc w:val="center"/>
        <w:rPr>
          <w:rFonts w:ascii="Times New Roman" w:hAnsi="Times New Roman" w:cs="Times New Roman"/>
          <w:sz w:val="24"/>
          <w:szCs w:val="24"/>
          <w:lang w:val="sr-Cyrl-RS"/>
        </w:rPr>
      </w:pPr>
      <w:r w:rsidRPr="00DD7EB5">
        <w:rPr>
          <w:rFonts w:ascii="Times New Roman" w:hAnsi="Times New Roman" w:cs="Times New Roman"/>
          <w:sz w:val="24"/>
          <w:szCs w:val="24"/>
          <w:lang w:val="sr-Cyrl-RS"/>
        </w:rPr>
        <w:t>ИЗВЕШТАЈ О РАДУ ЈЕДИНСТВЕНОГ ШАЛТЕРА ЗА ПОДРШКУ БИЗНИСУ И ИЗДАВАЊЕ ГРАЂЕВИНСКИХ ДОЗВОЛА</w:t>
      </w:r>
    </w:p>
    <w:p w:rsidR="00DD7EB5" w:rsidRDefault="00062CA8" w:rsidP="00DD7EB5">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ЗА ПЕРИОД 01.12</w:t>
      </w:r>
      <w:r w:rsidR="00756C66">
        <w:rPr>
          <w:rFonts w:ascii="Times New Roman" w:hAnsi="Times New Roman" w:cs="Times New Roman"/>
          <w:sz w:val="24"/>
          <w:szCs w:val="24"/>
          <w:lang w:val="sr-Cyrl-RS"/>
        </w:rPr>
        <w:t>.2016.-</w:t>
      </w:r>
      <w:r>
        <w:rPr>
          <w:rFonts w:ascii="Times New Roman" w:hAnsi="Times New Roman" w:cs="Times New Roman"/>
          <w:sz w:val="24"/>
          <w:szCs w:val="24"/>
          <w:lang w:val="sr-Latn-RS"/>
        </w:rPr>
        <w:t>31</w:t>
      </w:r>
      <w:r>
        <w:rPr>
          <w:rFonts w:ascii="Times New Roman" w:hAnsi="Times New Roman" w:cs="Times New Roman"/>
          <w:sz w:val="24"/>
          <w:szCs w:val="24"/>
          <w:lang w:val="sr-Cyrl-RS"/>
        </w:rPr>
        <w:t>.12</w:t>
      </w:r>
      <w:r w:rsidR="00DD7EB5" w:rsidRPr="00DD7EB5">
        <w:rPr>
          <w:rFonts w:ascii="Times New Roman" w:hAnsi="Times New Roman" w:cs="Times New Roman"/>
          <w:sz w:val="24"/>
          <w:szCs w:val="24"/>
          <w:lang w:val="sr-Cyrl-RS"/>
        </w:rPr>
        <w:t>.2016.ГОДИНЕ</w:t>
      </w:r>
    </w:p>
    <w:p w:rsidR="00F16FCA" w:rsidRDefault="00F16FCA" w:rsidP="00F16FCA">
      <w:pPr>
        <w:rPr>
          <w:rFonts w:ascii="Times New Roman" w:hAnsi="Times New Roman" w:cs="Times New Roman"/>
          <w:sz w:val="24"/>
          <w:szCs w:val="24"/>
          <w:lang w:val="sr-Cyrl-RS"/>
        </w:rPr>
      </w:pPr>
    </w:p>
    <w:p w:rsidR="00013C1A" w:rsidRDefault="00013C1A" w:rsidP="00F16FCA">
      <w:pPr>
        <w:rPr>
          <w:rFonts w:ascii="Times New Roman" w:hAnsi="Times New Roman" w:cs="Times New Roman"/>
          <w:sz w:val="24"/>
          <w:szCs w:val="24"/>
          <w:lang w:val="sr-Cyrl-RS"/>
        </w:rPr>
      </w:pPr>
    </w:p>
    <w:p w:rsidR="00F16FCA" w:rsidRDefault="00F16FCA" w:rsidP="00F16FCA">
      <w:pPr>
        <w:rPr>
          <w:rFonts w:ascii="Times New Roman" w:hAnsi="Times New Roman" w:cs="Times New Roman"/>
          <w:sz w:val="24"/>
          <w:szCs w:val="24"/>
          <w:lang w:val="sr-Cyrl-RS"/>
        </w:rPr>
      </w:pPr>
    </w:p>
    <w:p w:rsidR="00C82B8C" w:rsidRDefault="00736D74" w:rsidP="00F16FCA">
      <w:pPr>
        <w:rPr>
          <w:rFonts w:ascii="Times New Roman" w:hAnsi="Times New Roman" w:cs="Times New Roman"/>
          <w:sz w:val="24"/>
          <w:szCs w:val="24"/>
          <w:lang w:val="sr-Latn-RS"/>
        </w:rPr>
      </w:pPr>
      <w:r>
        <w:rPr>
          <w:rFonts w:ascii="Times New Roman" w:hAnsi="Times New Roman" w:cs="Times New Roman"/>
          <w:sz w:val="24"/>
          <w:szCs w:val="24"/>
          <w:lang w:val="sr-Latn-RS"/>
        </w:rPr>
        <w:t xml:space="preserve">             </w:t>
      </w:r>
      <w:r>
        <w:rPr>
          <w:rFonts w:ascii="Times New Roman" w:hAnsi="Times New Roman" w:cs="Times New Roman"/>
          <w:sz w:val="24"/>
          <w:szCs w:val="24"/>
          <w:lang w:val="sr-Cyrl-RS"/>
        </w:rPr>
        <w:t>У скупштинској сали Града Лесковца, 21.12.2016.године, одржана је</w:t>
      </w:r>
      <w:r w:rsidR="0069550E">
        <w:rPr>
          <w:rFonts w:ascii="Times New Roman" w:hAnsi="Times New Roman" w:cs="Times New Roman"/>
          <w:sz w:val="24"/>
          <w:szCs w:val="24"/>
          <w:lang w:val="sr-Cyrl-RS"/>
        </w:rPr>
        <w:t xml:space="preserve"> посета В</w:t>
      </w:r>
      <w:r w:rsidR="003E13D1">
        <w:rPr>
          <w:rFonts w:ascii="Times New Roman" w:hAnsi="Times New Roman" w:cs="Times New Roman"/>
          <w:sz w:val="24"/>
          <w:szCs w:val="24"/>
          <w:lang w:val="sr-Cyrl-RS"/>
        </w:rPr>
        <w:t>ерификационе комисије. Отвореној дискусији, коју су водили</w:t>
      </w:r>
      <w:r w:rsidR="009A35C4">
        <w:rPr>
          <w:rFonts w:ascii="Times New Roman" w:hAnsi="Times New Roman" w:cs="Times New Roman"/>
          <w:sz w:val="24"/>
          <w:szCs w:val="24"/>
          <w:lang w:val="sr-Cyrl-RS"/>
        </w:rPr>
        <w:t xml:space="preserve"> представници комисије </w:t>
      </w:r>
      <w:r w:rsidR="003E13D1">
        <w:rPr>
          <w:rFonts w:ascii="Times New Roman" w:hAnsi="Times New Roman" w:cs="Times New Roman"/>
          <w:sz w:val="24"/>
          <w:szCs w:val="24"/>
          <w:lang w:val="sr-Cyrl-RS"/>
        </w:rPr>
        <w:t xml:space="preserve"> Славенка Јаворина, Амра Јагањац и Драган Вујић</w:t>
      </w:r>
      <w:r w:rsidR="009A35C4">
        <w:rPr>
          <w:rFonts w:ascii="Times New Roman" w:hAnsi="Times New Roman" w:cs="Times New Roman"/>
          <w:sz w:val="24"/>
          <w:szCs w:val="24"/>
          <w:lang w:val="sr-Cyrl-RS"/>
        </w:rPr>
        <w:t xml:space="preserve"> укључени у разговору су били сви начелници Градских управа са својим члановима тј. изабраним радним телима.</w:t>
      </w:r>
      <w:r w:rsidR="006838FA">
        <w:rPr>
          <w:rFonts w:ascii="Times New Roman" w:hAnsi="Times New Roman" w:cs="Times New Roman"/>
          <w:sz w:val="24"/>
          <w:szCs w:val="24"/>
          <w:lang w:val="sr-Cyrl-RS"/>
        </w:rPr>
        <w:t xml:space="preserve"> Сваки од </w:t>
      </w:r>
      <w:r w:rsidR="005D3D21">
        <w:rPr>
          <w:rFonts w:ascii="Times New Roman" w:hAnsi="Times New Roman" w:cs="Times New Roman"/>
          <w:sz w:val="24"/>
          <w:szCs w:val="24"/>
          <w:lang w:val="sr-Cyrl-RS"/>
        </w:rPr>
        <w:t xml:space="preserve">доле побројаних </w:t>
      </w:r>
      <w:r w:rsidR="006838FA">
        <w:rPr>
          <w:rFonts w:ascii="Times New Roman" w:hAnsi="Times New Roman" w:cs="Times New Roman"/>
          <w:sz w:val="24"/>
          <w:szCs w:val="24"/>
          <w:lang w:val="sr-Cyrl-RS"/>
        </w:rPr>
        <w:t>критеријума</w:t>
      </w:r>
      <w:r w:rsidR="005145B9">
        <w:rPr>
          <w:rFonts w:ascii="Times New Roman" w:hAnsi="Times New Roman" w:cs="Times New Roman"/>
          <w:sz w:val="24"/>
          <w:szCs w:val="24"/>
          <w:lang w:val="sr-Cyrl-RS"/>
        </w:rPr>
        <w:t xml:space="preserve">: </w:t>
      </w:r>
    </w:p>
    <w:p w:rsidR="00C82B8C" w:rsidRPr="00C82B8C" w:rsidRDefault="00C82B8C" w:rsidP="00C82B8C">
      <w:pPr>
        <w:pStyle w:val="ListParagraph"/>
        <w:numPr>
          <w:ilvl w:val="0"/>
          <w:numId w:val="5"/>
        </w:numPr>
        <w:rPr>
          <w:rFonts w:ascii="Times New Roman" w:hAnsi="Times New Roman" w:cs="Times New Roman"/>
          <w:sz w:val="24"/>
          <w:szCs w:val="24"/>
          <w:lang w:val="sr-Latn-RS"/>
        </w:rPr>
      </w:pPr>
      <w:r>
        <w:rPr>
          <w:rFonts w:ascii="Times New Roman" w:hAnsi="Times New Roman" w:cs="Times New Roman"/>
          <w:sz w:val="24"/>
          <w:szCs w:val="24"/>
          <w:lang w:val="sr-Cyrl-RS"/>
        </w:rPr>
        <w:t>Стратегија локалног развоја</w:t>
      </w:r>
    </w:p>
    <w:p w:rsidR="00C82B8C" w:rsidRPr="00C82B8C" w:rsidRDefault="00C82B8C" w:rsidP="00C82B8C">
      <w:pPr>
        <w:pStyle w:val="ListParagraph"/>
        <w:numPr>
          <w:ilvl w:val="0"/>
          <w:numId w:val="5"/>
        </w:numPr>
        <w:rPr>
          <w:rFonts w:ascii="Times New Roman" w:hAnsi="Times New Roman" w:cs="Times New Roman"/>
          <w:sz w:val="24"/>
          <w:szCs w:val="24"/>
          <w:lang w:val="sr-Latn-RS"/>
        </w:rPr>
      </w:pPr>
      <w:r>
        <w:rPr>
          <w:rFonts w:ascii="Times New Roman" w:hAnsi="Times New Roman" w:cs="Times New Roman"/>
          <w:sz w:val="24"/>
          <w:szCs w:val="24"/>
          <w:lang w:val="sr-Cyrl-RS"/>
        </w:rPr>
        <w:t>Организациона јединица која је задужена за локални економски развој</w:t>
      </w:r>
    </w:p>
    <w:p w:rsidR="00C82B8C" w:rsidRPr="00C82B8C" w:rsidRDefault="00C82B8C" w:rsidP="00C82B8C">
      <w:pPr>
        <w:pStyle w:val="ListParagraph"/>
        <w:numPr>
          <w:ilvl w:val="0"/>
          <w:numId w:val="5"/>
        </w:numPr>
        <w:rPr>
          <w:rFonts w:ascii="Times New Roman" w:hAnsi="Times New Roman" w:cs="Times New Roman"/>
          <w:sz w:val="24"/>
          <w:szCs w:val="24"/>
          <w:lang w:val="sr-Latn-RS"/>
        </w:rPr>
      </w:pPr>
      <w:r>
        <w:rPr>
          <w:rFonts w:ascii="Times New Roman" w:hAnsi="Times New Roman" w:cs="Times New Roman"/>
          <w:sz w:val="24"/>
          <w:szCs w:val="24"/>
          <w:lang w:val="sr-Cyrl-RS"/>
        </w:rPr>
        <w:t>Стални привредни раст</w:t>
      </w:r>
    </w:p>
    <w:p w:rsidR="00C82B8C" w:rsidRPr="00C82B8C" w:rsidRDefault="00C82B8C" w:rsidP="00C82B8C">
      <w:pPr>
        <w:pStyle w:val="ListParagraph"/>
        <w:numPr>
          <w:ilvl w:val="0"/>
          <w:numId w:val="5"/>
        </w:numPr>
        <w:rPr>
          <w:rFonts w:ascii="Times New Roman" w:hAnsi="Times New Roman" w:cs="Times New Roman"/>
          <w:sz w:val="24"/>
          <w:szCs w:val="24"/>
          <w:lang w:val="sr-Latn-RS"/>
        </w:rPr>
      </w:pPr>
      <w:r>
        <w:rPr>
          <w:rFonts w:ascii="Times New Roman" w:hAnsi="Times New Roman" w:cs="Times New Roman"/>
          <w:sz w:val="24"/>
          <w:szCs w:val="24"/>
          <w:lang w:val="sr-Cyrl-RS"/>
        </w:rPr>
        <w:t>Систем услуга за добијање грађевинске дозволе</w:t>
      </w:r>
    </w:p>
    <w:p w:rsidR="00C82B8C" w:rsidRPr="00C82B8C" w:rsidRDefault="00C82B8C" w:rsidP="00C82B8C">
      <w:pPr>
        <w:pStyle w:val="ListParagraph"/>
        <w:numPr>
          <w:ilvl w:val="0"/>
          <w:numId w:val="5"/>
        </w:numPr>
        <w:rPr>
          <w:rFonts w:ascii="Times New Roman" w:hAnsi="Times New Roman" w:cs="Times New Roman"/>
          <w:sz w:val="24"/>
          <w:szCs w:val="24"/>
          <w:lang w:val="sr-Latn-RS"/>
        </w:rPr>
      </w:pPr>
      <w:r>
        <w:rPr>
          <w:rFonts w:ascii="Times New Roman" w:hAnsi="Times New Roman" w:cs="Times New Roman"/>
          <w:sz w:val="24"/>
          <w:szCs w:val="24"/>
          <w:lang w:val="sr-Cyrl-RS"/>
        </w:rPr>
        <w:t>Постојање аналитичке основе за подршку локалној послвној заједници и привлачење инвестиција</w:t>
      </w:r>
    </w:p>
    <w:p w:rsidR="00C82B8C" w:rsidRPr="00C82B8C" w:rsidRDefault="00C82B8C" w:rsidP="00C82B8C">
      <w:pPr>
        <w:pStyle w:val="ListParagraph"/>
        <w:numPr>
          <w:ilvl w:val="0"/>
          <w:numId w:val="5"/>
        </w:numPr>
        <w:rPr>
          <w:rFonts w:ascii="Times New Roman" w:hAnsi="Times New Roman" w:cs="Times New Roman"/>
          <w:sz w:val="24"/>
          <w:szCs w:val="24"/>
          <w:lang w:val="sr-Latn-RS"/>
        </w:rPr>
      </w:pPr>
      <w:r>
        <w:rPr>
          <w:rFonts w:ascii="Times New Roman" w:hAnsi="Times New Roman" w:cs="Times New Roman"/>
          <w:sz w:val="24"/>
          <w:szCs w:val="24"/>
          <w:lang w:val="sr-Cyrl-RS"/>
        </w:rPr>
        <w:t>Активности за промоцију улагања и квалитета пословног амбијента у Граду/Општини</w:t>
      </w:r>
    </w:p>
    <w:p w:rsidR="00C82B8C" w:rsidRPr="00C82B8C" w:rsidRDefault="00C82B8C" w:rsidP="00C82B8C">
      <w:pPr>
        <w:pStyle w:val="ListParagraph"/>
        <w:numPr>
          <w:ilvl w:val="0"/>
          <w:numId w:val="5"/>
        </w:numPr>
        <w:rPr>
          <w:rFonts w:ascii="Times New Roman" w:hAnsi="Times New Roman" w:cs="Times New Roman"/>
          <w:sz w:val="24"/>
          <w:szCs w:val="24"/>
          <w:lang w:val="sr-Latn-RS"/>
        </w:rPr>
      </w:pPr>
      <w:r>
        <w:rPr>
          <w:rFonts w:ascii="Times New Roman" w:hAnsi="Times New Roman" w:cs="Times New Roman"/>
          <w:sz w:val="24"/>
          <w:szCs w:val="24"/>
          <w:lang w:val="sr-Cyrl-RS"/>
        </w:rPr>
        <w:t>Кредитна способност и кредитна оправданост</w:t>
      </w:r>
    </w:p>
    <w:p w:rsidR="00C82B8C" w:rsidRPr="00C82B8C" w:rsidRDefault="00C82B8C" w:rsidP="00C82B8C">
      <w:pPr>
        <w:pStyle w:val="ListParagraph"/>
        <w:numPr>
          <w:ilvl w:val="0"/>
          <w:numId w:val="5"/>
        </w:numPr>
        <w:rPr>
          <w:rFonts w:ascii="Times New Roman" w:hAnsi="Times New Roman" w:cs="Times New Roman"/>
          <w:sz w:val="24"/>
          <w:szCs w:val="24"/>
          <w:lang w:val="sr-Latn-RS"/>
        </w:rPr>
      </w:pPr>
      <w:r>
        <w:rPr>
          <w:rFonts w:ascii="Times New Roman" w:hAnsi="Times New Roman" w:cs="Times New Roman"/>
          <w:sz w:val="24"/>
          <w:szCs w:val="24"/>
          <w:lang w:val="sr-Cyrl-RS"/>
        </w:rPr>
        <w:t>Праћење динамике локалног тржишта рада и активан однос према утврђеном стању и потребама</w:t>
      </w:r>
    </w:p>
    <w:p w:rsidR="00C82B8C" w:rsidRPr="00C82B8C" w:rsidRDefault="00C82B8C" w:rsidP="00C82B8C">
      <w:pPr>
        <w:pStyle w:val="ListParagraph"/>
        <w:numPr>
          <w:ilvl w:val="0"/>
          <w:numId w:val="5"/>
        </w:numPr>
        <w:rPr>
          <w:rFonts w:ascii="Times New Roman" w:hAnsi="Times New Roman" w:cs="Times New Roman"/>
          <w:sz w:val="24"/>
          <w:szCs w:val="24"/>
          <w:lang w:val="sr-Latn-RS"/>
        </w:rPr>
      </w:pPr>
      <w:r>
        <w:rPr>
          <w:rFonts w:ascii="Times New Roman" w:hAnsi="Times New Roman" w:cs="Times New Roman"/>
          <w:sz w:val="24"/>
          <w:szCs w:val="24"/>
          <w:lang w:val="sr-Cyrl-RS"/>
        </w:rPr>
        <w:t>Град/Општина развија сарадњу јавног и приватног сектора</w:t>
      </w:r>
    </w:p>
    <w:p w:rsidR="00C82B8C" w:rsidRPr="00C82B8C" w:rsidRDefault="00C82B8C" w:rsidP="00C82B8C">
      <w:pPr>
        <w:pStyle w:val="ListParagraph"/>
        <w:numPr>
          <w:ilvl w:val="0"/>
          <w:numId w:val="5"/>
        </w:numPr>
        <w:rPr>
          <w:rFonts w:ascii="Times New Roman" w:hAnsi="Times New Roman" w:cs="Times New Roman"/>
          <w:sz w:val="24"/>
          <w:szCs w:val="24"/>
          <w:lang w:val="sr-Latn-RS"/>
        </w:rPr>
      </w:pPr>
      <w:r>
        <w:rPr>
          <w:rFonts w:ascii="Times New Roman" w:hAnsi="Times New Roman" w:cs="Times New Roman"/>
          <w:sz w:val="24"/>
          <w:szCs w:val="24"/>
          <w:lang w:val="sr-Cyrl-RS"/>
        </w:rPr>
        <w:t>Адекватнаинфраструктура и поуздане комуникационе услуге</w:t>
      </w:r>
    </w:p>
    <w:p w:rsidR="00C82B8C" w:rsidRPr="00C82B8C" w:rsidRDefault="00C82B8C" w:rsidP="00C82B8C">
      <w:pPr>
        <w:pStyle w:val="ListParagraph"/>
        <w:numPr>
          <w:ilvl w:val="0"/>
          <w:numId w:val="5"/>
        </w:numPr>
        <w:rPr>
          <w:rFonts w:ascii="Times New Roman" w:hAnsi="Times New Roman" w:cs="Times New Roman"/>
          <w:sz w:val="24"/>
          <w:szCs w:val="24"/>
          <w:lang w:val="sr-Latn-RS"/>
        </w:rPr>
      </w:pPr>
      <w:r>
        <w:rPr>
          <w:rFonts w:ascii="Times New Roman" w:hAnsi="Times New Roman" w:cs="Times New Roman"/>
          <w:sz w:val="24"/>
          <w:szCs w:val="24"/>
          <w:lang w:val="sr-Cyrl-RS"/>
        </w:rPr>
        <w:t>Општина спроводи транспарентну пореску политику и политику наплатетакси којима се стимулише економски развој</w:t>
      </w:r>
    </w:p>
    <w:p w:rsidR="00C82B8C" w:rsidRPr="00BF6C8C" w:rsidRDefault="00C82B8C" w:rsidP="00C82B8C">
      <w:pPr>
        <w:pStyle w:val="ListParagraph"/>
        <w:numPr>
          <w:ilvl w:val="0"/>
          <w:numId w:val="5"/>
        </w:numPr>
        <w:rPr>
          <w:rFonts w:ascii="Times New Roman" w:hAnsi="Times New Roman" w:cs="Times New Roman"/>
          <w:sz w:val="24"/>
          <w:szCs w:val="24"/>
          <w:lang w:val="sr-Latn-RS"/>
        </w:rPr>
      </w:pPr>
      <w:r>
        <w:rPr>
          <w:rFonts w:ascii="Times New Roman" w:hAnsi="Times New Roman" w:cs="Times New Roman"/>
          <w:sz w:val="24"/>
          <w:szCs w:val="24"/>
          <w:lang w:val="sr-Cyrl-RS"/>
        </w:rPr>
        <w:t>Информационе технологије</w:t>
      </w:r>
    </w:p>
    <w:p w:rsidR="00BF6C8C" w:rsidRPr="00013C1A" w:rsidRDefault="00806E22" w:rsidP="00BF6C8C">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понаособ је </w:t>
      </w:r>
      <w:r w:rsidR="00BF6C8C">
        <w:rPr>
          <w:rFonts w:ascii="Times New Roman" w:hAnsi="Times New Roman" w:cs="Times New Roman"/>
          <w:sz w:val="24"/>
          <w:szCs w:val="24"/>
          <w:lang w:val="sr-Cyrl-RS"/>
        </w:rPr>
        <w:t xml:space="preserve">представљен, </w:t>
      </w:r>
      <w:r w:rsidR="00CC5D78">
        <w:rPr>
          <w:rFonts w:ascii="Times New Roman" w:hAnsi="Times New Roman" w:cs="Times New Roman"/>
          <w:sz w:val="24"/>
          <w:szCs w:val="24"/>
          <w:lang w:val="sr-Cyrl-RS"/>
        </w:rPr>
        <w:t>проди</w:t>
      </w:r>
      <w:r w:rsidR="001444C3">
        <w:rPr>
          <w:rFonts w:ascii="Times New Roman" w:hAnsi="Times New Roman" w:cs="Times New Roman"/>
          <w:sz w:val="24"/>
          <w:szCs w:val="24"/>
          <w:lang w:val="sr-Cyrl-RS"/>
        </w:rPr>
        <w:t xml:space="preserve">скутовано је о проценту испуњења, о утицају </w:t>
      </w:r>
      <w:r w:rsidR="00CC5D78">
        <w:rPr>
          <w:rFonts w:ascii="Times New Roman" w:hAnsi="Times New Roman" w:cs="Times New Roman"/>
          <w:sz w:val="24"/>
          <w:szCs w:val="24"/>
          <w:lang w:val="sr-Cyrl-RS"/>
        </w:rPr>
        <w:t xml:space="preserve">предлога </w:t>
      </w:r>
      <w:r w:rsidR="001444C3">
        <w:rPr>
          <w:rFonts w:ascii="Times New Roman" w:hAnsi="Times New Roman" w:cs="Times New Roman"/>
          <w:sz w:val="24"/>
          <w:szCs w:val="24"/>
          <w:lang w:val="sr-Cyrl-RS"/>
        </w:rPr>
        <w:t>предходних верификационих комисија на унапређ</w:t>
      </w:r>
      <w:r w:rsidR="005D3D21">
        <w:rPr>
          <w:rFonts w:ascii="Times New Roman" w:hAnsi="Times New Roman" w:cs="Times New Roman"/>
          <w:sz w:val="24"/>
          <w:szCs w:val="24"/>
          <w:lang w:val="sr-Cyrl-RS"/>
        </w:rPr>
        <w:t>ење повољног пословног окружења. Предлоге за побољшање појединих критеријума дали су и овогодишњи верификатори.</w:t>
      </w:r>
      <w:r w:rsidR="001444C3">
        <w:rPr>
          <w:rFonts w:ascii="Times New Roman" w:hAnsi="Times New Roman" w:cs="Times New Roman"/>
          <w:sz w:val="24"/>
          <w:szCs w:val="24"/>
          <w:lang w:val="sr-Cyrl-RS"/>
        </w:rPr>
        <w:t xml:space="preserve"> </w:t>
      </w:r>
      <w:r w:rsidR="00013C1A">
        <w:rPr>
          <w:rFonts w:ascii="Times New Roman" w:hAnsi="Times New Roman" w:cs="Times New Roman"/>
          <w:sz w:val="24"/>
          <w:szCs w:val="24"/>
          <w:lang w:val="sr-Cyrl-RS"/>
        </w:rPr>
        <w:t>Висок проценат</w:t>
      </w:r>
      <w:r w:rsidR="0086132B">
        <w:rPr>
          <w:rFonts w:ascii="Times New Roman" w:hAnsi="Times New Roman" w:cs="Times New Roman"/>
          <w:sz w:val="24"/>
          <w:szCs w:val="24"/>
          <w:lang w:val="sr-Cyrl-RS"/>
        </w:rPr>
        <w:t xml:space="preserve"> испуњења критеријума под бројем 4., систем услуга за добијање грађевинске дозволе</w:t>
      </w:r>
      <w:r w:rsidR="00013C1A">
        <w:rPr>
          <w:rFonts w:ascii="Times New Roman" w:hAnsi="Times New Roman" w:cs="Times New Roman"/>
          <w:sz w:val="24"/>
          <w:szCs w:val="24"/>
          <w:lang w:val="sr-Cyrl-RS"/>
        </w:rPr>
        <w:t>,  утицао је да верификациона комисија даје само позитивне коментаре са препоруком да се и у даљем раду професионално залажемо.</w:t>
      </w:r>
    </w:p>
    <w:p w:rsidR="00F16FCA" w:rsidRPr="00F16FCA" w:rsidRDefault="00F16FCA" w:rsidP="00F16FCA">
      <w:pPr>
        <w:spacing w:before="100" w:beforeAutospacing="1" w:after="100" w:afterAutospacing="1" w:line="240" w:lineRule="auto"/>
        <w:rPr>
          <w:rFonts w:ascii="Times New Roman" w:eastAsia="Times New Roman" w:hAnsi="Times New Roman" w:cs="Times New Roman"/>
          <w:sz w:val="24"/>
          <w:szCs w:val="24"/>
        </w:rPr>
      </w:pPr>
      <w:r w:rsidRPr="00F16FCA">
        <w:rPr>
          <w:rFonts w:ascii="Times New Roman" w:eastAsia="Times New Roman" w:hAnsi="Times New Roman" w:cs="Times New Roman"/>
          <w:sz w:val="24"/>
          <w:szCs w:val="24"/>
          <w:lang w:val="sr-Latn-RS"/>
        </w:rPr>
        <w:t> </w:t>
      </w:r>
    </w:p>
    <w:p w:rsidR="00F16FCA" w:rsidRPr="00DD7EB5" w:rsidRDefault="00F16FCA" w:rsidP="00F16FCA">
      <w:pPr>
        <w:rPr>
          <w:rFonts w:ascii="Times New Roman" w:hAnsi="Times New Roman" w:cs="Times New Roman"/>
          <w:sz w:val="24"/>
          <w:szCs w:val="24"/>
          <w:lang w:val="sr-Cyrl-RS"/>
        </w:rPr>
      </w:pPr>
    </w:p>
    <w:p w:rsidR="00DD7EB5" w:rsidRDefault="00DD7EB5" w:rsidP="00DD7EB5">
      <w:pPr>
        <w:jc w:val="both"/>
        <w:rPr>
          <w:rFonts w:ascii="Times New Roman" w:hAnsi="Times New Roman" w:cs="Times New Roman"/>
          <w:sz w:val="24"/>
          <w:szCs w:val="24"/>
          <w:lang w:val="sr-Latn-RS"/>
        </w:rPr>
      </w:pPr>
    </w:p>
    <w:p w:rsidR="00F16FCA" w:rsidRDefault="00F16FCA" w:rsidP="00DD7EB5">
      <w:pPr>
        <w:jc w:val="both"/>
        <w:rPr>
          <w:rFonts w:ascii="Times New Roman" w:hAnsi="Times New Roman" w:cs="Times New Roman"/>
          <w:sz w:val="24"/>
          <w:szCs w:val="24"/>
          <w:lang w:val="sr-Latn-RS"/>
        </w:rPr>
      </w:pPr>
    </w:p>
    <w:p w:rsidR="005234F4" w:rsidRDefault="000B401B" w:rsidP="00AA5919">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00AA5919">
        <w:rPr>
          <w:rFonts w:ascii="Times New Roman" w:hAnsi="Times New Roman" w:cs="Times New Roman"/>
          <w:sz w:val="24"/>
          <w:szCs w:val="24"/>
          <w:lang w:val="sr-Cyrl-RS"/>
        </w:rPr>
        <w:t>У извештајном периоду сумирани су резултати анкетирања. Упитник су попуњавали физ</w:t>
      </w:r>
      <w:r w:rsidR="003C4B55">
        <w:rPr>
          <w:rFonts w:ascii="Times New Roman" w:hAnsi="Times New Roman" w:cs="Times New Roman"/>
          <w:sz w:val="24"/>
          <w:szCs w:val="24"/>
          <w:lang w:val="sr-Cyrl-RS"/>
        </w:rPr>
        <w:t xml:space="preserve">ичка </w:t>
      </w:r>
      <w:r w:rsidR="00AA5919">
        <w:rPr>
          <w:rFonts w:ascii="Times New Roman" w:hAnsi="Times New Roman" w:cs="Times New Roman"/>
          <w:sz w:val="24"/>
          <w:szCs w:val="24"/>
          <w:lang w:val="sr-Cyrl-RS"/>
        </w:rPr>
        <w:t>лица и овлашћени пројектни бирои.</w:t>
      </w:r>
    </w:p>
    <w:p w:rsidR="00500CBE" w:rsidRDefault="00500CBE" w:rsidP="00500CBE">
      <w:pPr>
        <w:rPr>
          <w:rFonts w:ascii="Times New Roman" w:hAnsi="Times New Roman" w:cs="Times New Roman"/>
          <w:sz w:val="24"/>
          <w:szCs w:val="24"/>
          <w:lang w:val="sr-Cyrl-RS"/>
        </w:rPr>
      </w:pPr>
      <w:r>
        <w:rPr>
          <w:rFonts w:ascii="Times New Roman" w:hAnsi="Times New Roman" w:cs="Times New Roman"/>
          <w:sz w:val="24"/>
          <w:szCs w:val="24"/>
          <w:lang w:val="sr-Cyrl-RS"/>
        </w:rPr>
        <w:t>У периоду 01.11.2016.-15.12</w:t>
      </w:r>
      <w:r w:rsidRPr="001627C8">
        <w:rPr>
          <w:rFonts w:ascii="Times New Roman" w:hAnsi="Times New Roman" w:cs="Times New Roman"/>
          <w:sz w:val="24"/>
          <w:szCs w:val="24"/>
          <w:lang w:val="sr-Cyrl-RS"/>
        </w:rPr>
        <w:t>.2016.године,</w:t>
      </w:r>
      <w:r>
        <w:rPr>
          <w:rFonts w:ascii="Times New Roman" w:hAnsi="Times New Roman" w:cs="Times New Roman"/>
          <w:sz w:val="24"/>
          <w:szCs w:val="24"/>
          <w:lang w:val="sr-Cyrl-RS"/>
        </w:rPr>
        <w:t xml:space="preserve"> извршено је анкетирање физичких лица и овлашћених пројектних бироа.</w:t>
      </w:r>
      <w:r w:rsidRPr="001627C8">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Након прикупљања испуњених анкетних листића,  резултати су сумирани, извршена је анализа са предходим резултатима анкетирања од маја месеца текуће године и иста је објављена</w:t>
      </w:r>
      <w:r w:rsidRPr="001627C8">
        <w:rPr>
          <w:rFonts w:ascii="Times New Roman" w:hAnsi="Times New Roman" w:cs="Times New Roman"/>
          <w:sz w:val="24"/>
          <w:szCs w:val="24"/>
          <w:lang w:val="sr-Cyrl-RS"/>
        </w:rPr>
        <w:t xml:space="preserve"> на сајту Обједињене процедуре.</w:t>
      </w:r>
    </w:p>
    <w:p w:rsidR="00500CBE" w:rsidRDefault="00500CBE" w:rsidP="00500CBE">
      <w:pPr>
        <w:rPr>
          <w:rFonts w:ascii="Times New Roman" w:hAnsi="Times New Roman" w:cs="Times New Roman"/>
          <w:sz w:val="24"/>
          <w:szCs w:val="24"/>
          <w:lang w:val="sr-Cyrl-RS"/>
        </w:rPr>
      </w:pPr>
      <w:r w:rsidRPr="001627C8">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Као и у предходном периоду анкетирања, које је спроведено почетком  године, поновљена су анкетна п</w:t>
      </w:r>
      <w:r w:rsidRPr="001627C8">
        <w:rPr>
          <w:rFonts w:ascii="Times New Roman" w:hAnsi="Times New Roman" w:cs="Times New Roman"/>
          <w:sz w:val="24"/>
          <w:szCs w:val="24"/>
          <w:lang w:val="sr-Cyrl-RS"/>
        </w:rPr>
        <w:t>итања</w:t>
      </w:r>
      <w:r>
        <w:rPr>
          <w:rFonts w:ascii="Times New Roman" w:hAnsi="Times New Roman" w:cs="Times New Roman"/>
          <w:sz w:val="24"/>
          <w:szCs w:val="24"/>
          <w:lang w:val="sr-Cyrl-RS"/>
        </w:rPr>
        <w:t xml:space="preserve">. Како је приликом бирања питања за прошло анкетирање узето у обзир и начин подношења захтева, поновљеним питањима добијамо одговоре на основу којих се може прецизније урадити анализа упоређивањем истих. </w:t>
      </w:r>
    </w:p>
    <w:p w:rsidR="00500CBE" w:rsidRDefault="00500CBE" w:rsidP="00500CBE">
      <w:pPr>
        <w:rPr>
          <w:rFonts w:ascii="Times New Roman" w:hAnsi="Times New Roman" w:cs="Times New Roman"/>
          <w:sz w:val="24"/>
          <w:szCs w:val="24"/>
          <w:lang w:val="sr-Cyrl-RS"/>
        </w:rPr>
      </w:pPr>
    </w:p>
    <w:p w:rsidR="00500CBE" w:rsidRDefault="00500CBE" w:rsidP="00500CBE">
      <w:pPr>
        <w:rPr>
          <w:rFonts w:ascii="Times New Roman" w:hAnsi="Times New Roman" w:cs="Times New Roman"/>
          <w:sz w:val="24"/>
          <w:szCs w:val="24"/>
          <w:lang w:val="sr-Cyrl-RS"/>
        </w:rPr>
      </w:pPr>
      <w:r>
        <w:rPr>
          <w:rFonts w:ascii="Times New Roman" w:hAnsi="Times New Roman" w:cs="Times New Roman"/>
          <w:sz w:val="24"/>
          <w:szCs w:val="24"/>
          <w:lang w:val="sr-Cyrl-RS"/>
        </w:rPr>
        <w:t>Следи графички приказ начина подношења захтева за добијање дозвола за градњу:</w:t>
      </w:r>
    </w:p>
    <w:p w:rsidR="00500CBE" w:rsidRDefault="00500CBE" w:rsidP="00500CBE">
      <w:pPr>
        <w:rPr>
          <w:rFonts w:ascii="Times New Roman" w:hAnsi="Times New Roman" w:cs="Times New Roman"/>
          <w:sz w:val="24"/>
          <w:szCs w:val="24"/>
          <w:lang w:val="sr-Cyrl-RS"/>
        </w:rPr>
      </w:pPr>
      <w:r w:rsidRPr="00B56F99">
        <w:rPr>
          <w:rFonts w:ascii="Times New Roman" w:hAnsi="Times New Roman" w:cs="Times New Roman"/>
          <w:noProof/>
          <w:sz w:val="24"/>
          <w:szCs w:val="24"/>
          <w:u w:val="single"/>
        </w:rPr>
        <w:drawing>
          <wp:inline distT="0" distB="0" distL="0" distR="0" wp14:anchorId="0BF89443" wp14:editId="5A5C7FDE">
            <wp:extent cx="5486400" cy="32004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500CBE" w:rsidRDefault="00500CBE" w:rsidP="00500CBE">
      <w:pPr>
        <w:rPr>
          <w:rFonts w:ascii="Times New Roman" w:hAnsi="Times New Roman" w:cs="Times New Roman"/>
          <w:sz w:val="24"/>
          <w:szCs w:val="24"/>
          <w:lang w:val="sr-Cyrl-RS"/>
        </w:rPr>
      </w:pPr>
    </w:p>
    <w:p w:rsidR="00500CBE" w:rsidRDefault="00500CBE" w:rsidP="00500CBE">
      <w:pPr>
        <w:rPr>
          <w:rFonts w:ascii="Times New Roman" w:hAnsi="Times New Roman" w:cs="Times New Roman"/>
          <w:sz w:val="24"/>
          <w:szCs w:val="24"/>
          <w:lang w:val="sr-Cyrl-RS"/>
        </w:rPr>
      </w:pPr>
      <w:r>
        <w:rPr>
          <w:rFonts w:ascii="Times New Roman" w:hAnsi="Times New Roman" w:cs="Times New Roman"/>
          <w:sz w:val="24"/>
          <w:szCs w:val="24"/>
          <w:lang w:val="sr-Latn-RS"/>
        </w:rPr>
        <w:t xml:space="preserve">       </w:t>
      </w:r>
      <w:r>
        <w:rPr>
          <w:rFonts w:ascii="Times New Roman" w:hAnsi="Times New Roman" w:cs="Times New Roman"/>
          <w:sz w:val="24"/>
          <w:szCs w:val="24"/>
          <w:lang w:val="sr-Cyrl-RS"/>
        </w:rPr>
        <w:t>Упоређивањем сумираних резултата анкетирања током горе поменутог периода са предходним сумираним подацима од маја месеца текуће године  уочавамо  следеће:</w:t>
      </w:r>
    </w:p>
    <w:p w:rsidR="00500CBE" w:rsidRDefault="00500CBE" w:rsidP="00500CBE">
      <w:pPr>
        <w:pStyle w:val="ListParagraph"/>
        <w:ind w:left="420"/>
        <w:rPr>
          <w:rFonts w:ascii="Times New Roman" w:hAnsi="Times New Roman" w:cs="Times New Roman"/>
          <w:sz w:val="24"/>
          <w:szCs w:val="24"/>
          <w:lang w:val="sr-Cyrl-RS"/>
        </w:rPr>
      </w:pPr>
    </w:p>
    <w:p w:rsidR="00500CBE" w:rsidRDefault="00500CBE" w:rsidP="00500CBE">
      <w:pPr>
        <w:pStyle w:val="ListParagraph"/>
        <w:ind w:left="420"/>
        <w:rPr>
          <w:rFonts w:ascii="Times New Roman" w:hAnsi="Times New Roman" w:cs="Times New Roman"/>
          <w:sz w:val="24"/>
          <w:szCs w:val="24"/>
          <w:lang w:val="sr-Cyrl-RS"/>
        </w:rPr>
      </w:pPr>
      <w:r>
        <w:rPr>
          <w:rFonts w:ascii="Times New Roman" w:hAnsi="Times New Roman" w:cs="Times New Roman"/>
          <w:sz w:val="24"/>
          <w:szCs w:val="24"/>
          <w:lang w:val="sr-Cyrl-RS"/>
        </w:rPr>
        <w:t xml:space="preserve">Почетком 2016.године, од када се почело са применом електронске грађевинске дозволе, анкетирање које је вршено маја месеца, показало је да се корисници још увек прилагођавају на нови начин примене. Коришћењем истих анкетних питања у горе наведеном анкетном периоду, добијамо одговоре који су и били за очекивати када је у питању начин подношења захтева за добијање грађевинске дозволе. </w:t>
      </w:r>
      <w:r>
        <w:rPr>
          <w:rFonts w:ascii="Times New Roman" w:hAnsi="Times New Roman" w:cs="Times New Roman"/>
          <w:sz w:val="24"/>
          <w:szCs w:val="24"/>
          <w:lang w:val="sr-Cyrl-RS"/>
        </w:rPr>
        <w:lastRenderedPageBreak/>
        <w:t xml:space="preserve">Већина анкетираних  се изјаснила да се приликом подношења електронске дозволе обратила овлашћеним пројектним бироима. Без обзира што се на сајту Обједињене процедуре налазе  ценовници у оквиру којих се могу наћи сви износи за уплату и одговарајући уплатни рачуни, грађани су се ипак одлучили да за подношења захтева ангажују овлашћене пројектне бирое. </w:t>
      </w:r>
    </w:p>
    <w:p w:rsidR="00500CBE" w:rsidRDefault="00500CBE" w:rsidP="00500CBE">
      <w:pPr>
        <w:pStyle w:val="ListParagraph"/>
        <w:ind w:left="420"/>
        <w:rPr>
          <w:rFonts w:ascii="Times New Roman" w:hAnsi="Times New Roman" w:cs="Times New Roman"/>
          <w:sz w:val="24"/>
          <w:szCs w:val="24"/>
          <w:lang w:val="sr-Cyrl-RS"/>
        </w:rPr>
      </w:pPr>
    </w:p>
    <w:p w:rsidR="00500CBE" w:rsidRPr="00EE2EC2" w:rsidRDefault="00500CBE" w:rsidP="00500CBE">
      <w:pPr>
        <w:pStyle w:val="ListParagraph"/>
        <w:ind w:left="420"/>
        <w:rPr>
          <w:rFonts w:ascii="Times New Roman" w:hAnsi="Times New Roman" w:cs="Times New Roman"/>
          <w:sz w:val="24"/>
          <w:szCs w:val="24"/>
          <w:lang w:val="sr-Latn-RS"/>
        </w:rPr>
      </w:pPr>
      <w:r>
        <w:rPr>
          <w:rFonts w:ascii="Times New Roman" w:hAnsi="Times New Roman" w:cs="Times New Roman"/>
          <w:sz w:val="24"/>
          <w:szCs w:val="24"/>
          <w:lang w:val="sr-Cyrl-RS"/>
        </w:rPr>
        <w:t>У наведеном периоду, укупно је анкетирано 40 лица. Од укупног броја испитаних, изабрана су 10 пројектна бироа а остале анкете су попунили физичка и правна лица који су подносили захтеве за информацију о локацији, захтеве за издавање локацијских услова, грађевинске дозволе, одобрења за извођење радова и употребне дозволе за објекте.</w:t>
      </w:r>
    </w:p>
    <w:p w:rsidR="00500CBE" w:rsidRDefault="00500CBE" w:rsidP="00500CBE">
      <w:pPr>
        <w:pStyle w:val="ListParagraph"/>
        <w:ind w:left="420"/>
        <w:rPr>
          <w:rFonts w:ascii="Times New Roman" w:hAnsi="Times New Roman" w:cs="Times New Roman"/>
          <w:sz w:val="24"/>
          <w:szCs w:val="24"/>
          <w:lang w:val="sr-Cyrl-RS"/>
        </w:rPr>
      </w:pPr>
    </w:p>
    <w:p w:rsidR="00500CBE" w:rsidRDefault="00500CBE" w:rsidP="00500CBE">
      <w:pPr>
        <w:pStyle w:val="ListParagraph"/>
        <w:ind w:left="420"/>
        <w:rPr>
          <w:rFonts w:ascii="Times New Roman" w:hAnsi="Times New Roman" w:cs="Times New Roman"/>
          <w:sz w:val="24"/>
          <w:szCs w:val="24"/>
          <w:lang w:val="sr-Cyrl-RS"/>
        </w:rPr>
      </w:pPr>
      <w:r>
        <w:rPr>
          <w:rFonts w:ascii="Times New Roman" w:hAnsi="Times New Roman" w:cs="Times New Roman"/>
          <w:sz w:val="24"/>
          <w:szCs w:val="24"/>
          <w:lang w:val="sr-Cyrl-RS"/>
        </w:rPr>
        <w:t xml:space="preserve">Како је и графички приказано, процентуални износ самосталног подношења захтева за електронску дозволу за градњу износио је 36% у мају месецу, док се у овом анектираном периоду тај број смањио на чак 17%. У Упоређивањем добијених резултата, </w:t>
      </w:r>
      <w:r>
        <w:rPr>
          <w:rFonts w:ascii="Times New Roman" w:hAnsi="Times New Roman" w:cs="Times New Roman"/>
          <w:sz w:val="24"/>
          <w:szCs w:val="24"/>
          <w:lang w:val="sr-Latn-RS"/>
        </w:rPr>
        <w:t>вредност индикатора</w:t>
      </w:r>
      <w:r>
        <w:rPr>
          <w:rFonts w:ascii="Times New Roman" w:hAnsi="Times New Roman" w:cs="Times New Roman"/>
          <w:sz w:val="24"/>
          <w:szCs w:val="24"/>
          <w:lang w:val="sr-Cyrl-RS"/>
        </w:rPr>
        <w:t xml:space="preserve"> од 42%, </w:t>
      </w:r>
      <w:r>
        <w:rPr>
          <w:rFonts w:ascii="Times New Roman" w:hAnsi="Times New Roman" w:cs="Times New Roman"/>
          <w:sz w:val="24"/>
          <w:szCs w:val="24"/>
          <w:lang w:val="sr-Latn-RS"/>
        </w:rPr>
        <w:t xml:space="preserve"> показује процентуални износ повећања подношења захтева путем пројектних бироа. </w:t>
      </w:r>
      <w:r>
        <w:rPr>
          <w:rFonts w:ascii="Times New Roman" w:hAnsi="Times New Roman" w:cs="Times New Roman"/>
          <w:sz w:val="24"/>
          <w:szCs w:val="24"/>
          <w:lang w:val="sr-Cyrl-RS"/>
        </w:rPr>
        <w:t xml:space="preserve"> Повећању индикатора проузроковали су опширни и компликовани упитници за приступ на систем за подношење електронске грађевинске дозволе, проблеми приликом подношења захтева за електронски потпис, промена конфигурације рачунара ( за случај да корисник има тип рачунара који не подржава одговарајућу брзину протока података путем интернета) или проблем око инсталирања одговарајућих програма, претрага потребних износа за уплату које су потребне за подношење захтева и издавања решења, поседовање адекватног интернет претраживача као и компликован начин коришћења апликације.</w:t>
      </w:r>
    </w:p>
    <w:p w:rsidR="00500CBE" w:rsidRDefault="00500CBE" w:rsidP="00500CBE">
      <w:pPr>
        <w:pStyle w:val="ListParagraph"/>
        <w:ind w:left="420"/>
        <w:rPr>
          <w:rFonts w:ascii="Times New Roman" w:hAnsi="Times New Roman" w:cs="Times New Roman"/>
          <w:sz w:val="24"/>
          <w:szCs w:val="24"/>
          <w:lang w:val="sr-Cyrl-RS"/>
        </w:rPr>
      </w:pPr>
    </w:p>
    <w:p w:rsidR="00500CBE" w:rsidRPr="003C4B55" w:rsidRDefault="00500CBE" w:rsidP="00AA5919">
      <w:pPr>
        <w:jc w:val="both"/>
        <w:rPr>
          <w:rFonts w:ascii="Times New Roman" w:hAnsi="Times New Roman" w:cs="Times New Roman"/>
          <w:sz w:val="24"/>
          <w:szCs w:val="24"/>
          <w:lang w:val="sr-Latn-RS"/>
        </w:rPr>
      </w:pPr>
      <w:bookmarkStart w:id="0" w:name="_GoBack"/>
      <w:bookmarkEnd w:id="0"/>
    </w:p>
    <w:p w:rsidR="00D53EAE" w:rsidRDefault="002463E6" w:rsidP="00BD779D">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p>
    <w:p w:rsidR="00551812" w:rsidRDefault="00551812" w:rsidP="00DD7EB5">
      <w:pPr>
        <w:jc w:val="both"/>
        <w:rPr>
          <w:rFonts w:ascii="Times New Roman" w:hAnsi="Times New Roman" w:cs="Times New Roman"/>
          <w:sz w:val="24"/>
          <w:szCs w:val="24"/>
          <w:lang w:val="sr-Cyrl-RS"/>
        </w:rPr>
      </w:pPr>
    </w:p>
    <w:p w:rsidR="00551812" w:rsidRDefault="00551812" w:rsidP="00DD7EB5">
      <w:pPr>
        <w:jc w:val="both"/>
        <w:rPr>
          <w:rFonts w:ascii="Times New Roman" w:hAnsi="Times New Roman" w:cs="Times New Roman"/>
          <w:sz w:val="24"/>
          <w:szCs w:val="24"/>
          <w:lang w:val="sr-Cyrl-RS"/>
        </w:rPr>
      </w:pPr>
    </w:p>
    <w:p w:rsidR="00DD7EB5" w:rsidRDefault="00DD7EB5" w:rsidP="00DD7EB5">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00551812">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 xml:space="preserve">                                                                    Координатор јединственог шалтера за </w:t>
      </w:r>
    </w:p>
    <w:p w:rsidR="00DD7EB5" w:rsidRDefault="00DD7EB5" w:rsidP="00DD7EB5">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подршку бизнису и издавање грађевинских дозвола</w:t>
      </w:r>
    </w:p>
    <w:p w:rsidR="00DD7EB5" w:rsidRPr="007A3E43" w:rsidRDefault="00DD7EB5" w:rsidP="00DD7EB5">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________________________________</w:t>
      </w:r>
    </w:p>
    <w:sectPr w:rsidR="00DD7EB5" w:rsidRPr="007A3E43" w:rsidSect="00F878F7">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525543"/>
    <w:multiLevelType w:val="hybridMultilevel"/>
    <w:tmpl w:val="3C12F290"/>
    <w:lvl w:ilvl="0" w:tplc="F5BE28E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404B5E"/>
    <w:multiLevelType w:val="hybridMultilevel"/>
    <w:tmpl w:val="1CD8EC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0144C0"/>
    <w:multiLevelType w:val="hybridMultilevel"/>
    <w:tmpl w:val="584E09B8"/>
    <w:lvl w:ilvl="0" w:tplc="9146C72C">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 w15:restartNumberingAfterBreak="0">
    <w:nsid w:val="466F49A9"/>
    <w:multiLevelType w:val="hybridMultilevel"/>
    <w:tmpl w:val="69705F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01B02D1"/>
    <w:multiLevelType w:val="hybridMultilevel"/>
    <w:tmpl w:val="49C0BA40"/>
    <w:lvl w:ilvl="0" w:tplc="C5CE2D7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4E9B"/>
    <w:rsid w:val="000030DF"/>
    <w:rsid w:val="000040A8"/>
    <w:rsid w:val="00013C1A"/>
    <w:rsid w:val="000328CA"/>
    <w:rsid w:val="00035B2B"/>
    <w:rsid w:val="00041E12"/>
    <w:rsid w:val="0004735E"/>
    <w:rsid w:val="00054C44"/>
    <w:rsid w:val="00057DCC"/>
    <w:rsid w:val="00062CA8"/>
    <w:rsid w:val="00073448"/>
    <w:rsid w:val="000929B3"/>
    <w:rsid w:val="000958B0"/>
    <w:rsid w:val="000B401B"/>
    <w:rsid w:val="000C6697"/>
    <w:rsid w:val="000C736A"/>
    <w:rsid w:val="000C73EB"/>
    <w:rsid w:val="000D1A6F"/>
    <w:rsid w:val="000D3158"/>
    <w:rsid w:val="000E0ABC"/>
    <w:rsid w:val="000E1BEC"/>
    <w:rsid w:val="000E78E9"/>
    <w:rsid w:val="000F533A"/>
    <w:rsid w:val="00100DF0"/>
    <w:rsid w:val="00102270"/>
    <w:rsid w:val="001154C1"/>
    <w:rsid w:val="00126F9C"/>
    <w:rsid w:val="001444C3"/>
    <w:rsid w:val="00151DD4"/>
    <w:rsid w:val="00157FDB"/>
    <w:rsid w:val="00162558"/>
    <w:rsid w:val="001810CA"/>
    <w:rsid w:val="00184459"/>
    <w:rsid w:val="00190604"/>
    <w:rsid w:val="001A36AD"/>
    <w:rsid w:val="001B7F33"/>
    <w:rsid w:val="001C50BF"/>
    <w:rsid w:val="001D5223"/>
    <w:rsid w:val="001E40B2"/>
    <w:rsid w:val="002007A4"/>
    <w:rsid w:val="00202F7E"/>
    <w:rsid w:val="00214D1E"/>
    <w:rsid w:val="00227DFB"/>
    <w:rsid w:val="002463E6"/>
    <w:rsid w:val="002475D8"/>
    <w:rsid w:val="00273E44"/>
    <w:rsid w:val="00275DB5"/>
    <w:rsid w:val="002A31CF"/>
    <w:rsid w:val="002B17B5"/>
    <w:rsid w:val="002C77F8"/>
    <w:rsid w:val="002E2021"/>
    <w:rsid w:val="002E64B7"/>
    <w:rsid w:val="002E7F0F"/>
    <w:rsid w:val="002E7F83"/>
    <w:rsid w:val="002F1D63"/>
    <w:rsid w:val="002F3661"/>
    <w:rsid w:val="002F5844"/>
    <w:rsid w:val="003019E5"/>
    <w:rsid w:val="00306386"/>
    <w:rsid w:val="00315518"/>
    <w:rsid w:val="003214E7"/>
    <w:rsid w:val="00321CF7"/>
    <w:rsid w:val="00325F4D"/>
    <w:rsid w:val="00326731"/>
    <w:rsid w:val="003270C1"/>
    <w:rsid w:val="00331DA7"/>
    <w:rsid w:val="00342CB9"/>
    <w:rsid w:val="00355625"/>
    <w:rsid w:val="00362D99"/>
    <w:rsid w:val="003641C4"/>
    <w:rsid w:val="00382058"/>
    <w:rsid w:val="00384C36"/>
    <w:rsid w:val="003A013B"/>
    <w:rsid w:val="003A4D9E"/>
    <w:rsid w:val="003B5BC7"/>
    <w:rsid w:val="003B7188"/>
    <w:rsid w:val="003C490E"/>
    <w:rsid w:val="003C4B55"/>
    <w:rsid w:val="003E13D1"/>
    <w:rsid w:val="003E4658"/>
    <w:rsid w:val="003E4F71"/>
    <w:rsid w:val="003E516C"/>
    <w:rsid w:val="00402758"/>
    <w:rsid w:val="004145B5"/>
    <w:rsid w:val="00416E6A"/>
    <w:rsid w:val="00425940"/>
    <w:rsid w:val="004362AA"/>
    <w:rsid w:val="004525E3"/>
    <w:rsid w:val="00462A9C"/>
    <w:rsid w:val="004654DF"/>
    <w:rsid w:val="0047016B"/>
    <w:rsid w:val="00470CA5"/>
    <w:rsid w:val="00472E24"/>
    <w:rsid w:val="00482DFE"/>
    <w:rsid w:val="00492711"/>
    <w:rsid w:val="004A73C6"/>
    <w:rsid w:val="004B57A3"/>
    <w:rsid w:val="004C04AE"/>
    <w:rsid w:val="004C7723"/>
    <w:rsid w:val="004D0244"/>
    <w:rsid w:val="004D5F0B"/>
    <w:rsid w:val="004D6EA7"/>
    <w:rsid w:val="004E2F7D"/>
    <w:rsid w:val="004E7236"/>
    <w:rsid w:val="004F4C9F"/>
    <w:rsid w:val="00500CBE"/>
    <w:rsid w:val="00501205"/>
    <w:rsid w:val="00511F3E"/>
    <w:rsid w:val="005145B9"/>
    <w:rsid w:val="00515F1E"/>
    <w:rsid w:val="00517490"/>
    <w:rsid w:val="005234F4"/>
    <w:rsid w:val="0052406D"/>
    <w:rsid w:val="00526342"/>
    <w:rsid w:val="00551812"/>
    <w:rsid w:val="005557B3"/>
    <w:rsid w:val="00555F8F"/>
    <w:rsid w:val="00562EFA"/>
    <w:rsid w:val="005649FD"/>
    <w:rsid w:val="0056581E"/>
    <w:rsid w:val="005837A7"/>
    <w:rsid w:val="00586799"/>
    <w:rsid w:val="005949E6"/>
    <w:rsid w:val="005A48C8"/>
    <w:rsid w:val="005A4C9E"/>
    <w:rsid w:val="005B2A12"/>
    <w:rsid w:val="005B774E"/>
    <w:rsid w:val="005D3D21"/>
    <w:rsid w:val="005E32CA"/>
    <w:rsid w:val="005E4C54"/>
    <w:rsid w:val="005E7997"/>
    <w:rsid w:val="0060332E"/>
    <w:rsid w:val="0060449A"/>
    <w:rsid w:val="00615089"/>
    <w:rsid w:val="006234CA"/>
    <w:rsid w:val="00627767"/>
    <w:rsid w:val="006439F3"/>
    <w:rsid w:val="006469EA"/>
    <w:rsid w:val="00652785"/>
    <w:rsid w:val="006531DA"/>
    <w:rsid w:val="006559FA"/>
    <w:rsid w:val="00665755"/>
    <w:rsid w:val="00666C34"/>
    <w:rsid w:val="0068302A"/>
    <w:rsid w:val="006838D8"/>
    <w:rsid w:val="006838FA"/>
    <w:rsid w:val="0069550E"/>
    <w:rsid w:val="00695FA3"/>
    <w:rsid w:val="006A7FDD"/>
    <w:rsid w:val="006D0EF0"/>
    <w:rsid w:val="006D41A2"/>
    <w:rsid w:val="006E080F"/>
    <w:rsid w:val="006F1C72"/>
    <w:rsid w:val="006F2F20"/>
    <w:rsid w:val="006F5DF2"/>
    <w:rsid w:val="00702536"/>
    <w:rsid w:val="00710E37"/>
    <w:rsid w:val="00713684"/>
    <w:rsid w:val="007315D8"/>
    <w:rsid w:val="00736D74"/>
    <w:rsid w:val="007546CE"/>
    <w:rsid w:val="00755C33"/>
    <w:rsid w:val="00756C66"/>
    <w:rsid w:val="00793907"/>
    <w:rsid w:val="007A2DA9"/>
    <w:rsid w:val="007A3E43"/>
    <w:rsid w:val="007B4CA9"/>
    <w:rsid w:val="007B4DD5"/>
    <w:rsid w:val="007B582A"/>
    <w:rsid w:val="007D747C"/>
    <w:rsid w:val="007E02F7"/>
    <w:rsid w:val="007E27B4"/>
    <w:rsid w:val="007E2818"/>
    <w:rsid w:val="007F20B9"/>
    <w:rsid w:val="007F7344"/>
    <w:rsid w:val="008066D7"/>
    <w:rsid w:val="00806E22"/>
    <w:rsid w:val="00810C9A"/>
    <w:rsid w:val="00816903"/>
    <w:rsid w:val="008172C8"/>
    <w:rsid w:val="00820869"/>
    <w:rsid w:val="00820A2F"/>
    <w:rsid w:val="008229BF"/>
    <w:rsid w:val="00830DA8"/>
    <w:rsid w:val="00833724"/>
    <w:rsid w:val="00835AF9"/>
    <w:rsid w:val="0083677D"/>
    <w:rsid w:val="008378C0"/>
    <w:rsid w:val="00843579"/>
    <w:rsid w:val="00843758"/>
    <w:rsid w:val="00844FE4"/>
    <w:rsid w:val="00851DE8"/>
    <w:rsid w:val="00860FDF"/>
    <w:rsid w:val="0086132B"/>
    <w:rsid w:val="0087208B"/>
    <w:rsid w:val="00893483"/>
    <w:rsid w:val="008941AC"/>
    <w:rsid w:val="008A67FE"/>
    <w:rsid w:val="008B227E"/>
    <w:rsid w:val="008B59A1"/>
    <w:rsid w:val="008C7669"/>
    <w:rsid w:val="008D3A7E"/>
    <w:rsid w:val="008D718D"/>
    <w:rsid w:val="008D7D44"/>
    <w:rsid w:val="008E7F8D"/>
    <w:rsid w:val="00910322"/>
    <w:rsid w:val="009117A6"/>
    <w:rsid w:val="009119F9"/>
    <w:rsid w:val="009215A9"/>
    <w:rsid w:val="009470DD"/>
    <w:rsid w:val="00955C17"/>
    <w:rsid w:val="0096037E"/>
    <w:rsid w:val="00960A4B"/>
    <w:rsid w:val="00965D13"/>
    <w:rsid w:val="0097222B"/>
    <w:rsid w:val="00987389"/>
    <w:rsid w:val="0099637D"/>
    <w:rsid w:val="009A00F4"/>
    <w:rsid w:val="009A35C4"/>
    <w:rsid w:val="009A37B4"/>
    <w:rsid w:val="009B61F4"/>
    <w:rsid w:val="009C029B"/>
    <w:rsid w:val="009E1313"/>
    <w:rsid w:val="009E6FCF"/>
    <w:rsid w:val="009F4817"/>
    <w:rsid w:val="00A0158E"/>
    <w:rsid w:val="00A161B7"/>
    <w:rsid w:val="00A26365"/>
    <w:rsid w:val="00A32D1F"/>
    <w:rsid w:val="00A33CBD"/>
    <w:rsid w:val="00A3620A"/>
    <w:rsid w:val="00A473CD"/>
    <w:rsid w:val="00A478C9"/>
    <w:rsid w:val="00A51359"/>
    <w:rsid w:val="00A547C9"/>
    <w:rsid w:val="00A60F0C"/>
    <w:rsid w:val="00A72557"/>
    <w:rsid w:val="00A856AC"/>
    <w:rsid w:val="00A87513"/>
    <w:rsid w:val="00A91FCF"/>
    <w:rsid w:val="00A9414F"/>
    <w:rsid w:val="00A94B04"/>
    <w:rsid w:val="00A95BFF"/>
    <w:rsid w:val="00A96D76"/>
    <w:rsid w:val="00A96F2B"/>
    <w:rsid w:val="00AA20B3"/>
    <w:rsid w:val="00AA5919"/>
    <w:rsid w:val="00AC5AA0"/>
    <w:rsid w:val="00AD0818"/>
    <w:rsid w:val="00AD4961"/>
    <w:rsid w:val="00AE1212"/>
    <w:rsid w:val="00AF0C24"/>
    <w:rsid w:val="00B15CA4"/>
    <w:rsid w:val="00B41AE6"/>
    <w:rsid w:val="00B465E2"/>
    <w:rsid w:val="00B503F5"/>
    <w:rsid w:val="00B6388B"/>
    <w:rsid w:val="00B86617"/>
    <w:rsid w:val="00BA1C79"/>
    <w:rsid w:val="00BA6894"/>
    <w:rsid w:val="00BB015C"/>
    <w:rsid w:val="00BB4C0E"/>
    <w:rsid w:val="00BC2DAC"/>
    <w:rsid w:val="00BD3007"/>
    <w:rsid w:val="00BD4BA6"/>
    <w:rsid w:val="00BD779D"/>
    <w:rsid w:val="00BE0BAF"/>
    <w:rsid w:val="00BE2A0D"/>
    <w:rsid w:val="00BE590C"/>
    <w:rsid w:val="00BF6C8C"/>
    <w:rsid w:val="00C04061"/>
    <w:rsid w:val="00C0671B"/>
    <w:rsid w:val="00C0717F"/>
    <w:rsid w:val="00C101F9"/>
    <w:rsid w:val="00C17942"/>
    <w:rsid w:val="00C21773"/>
    <w:rsid w:val="00C23175"/>
    <w:rsid w:val="00C438F2"/>
    <w:rsid w:val="00C44E9B"/>
    <w:rsid w:val="00C45D0E"/>
    <w:rsid w:val="00C4643D"/>
    <w:rsid w:val="00C46448"/>
    <w:rsid w:val="00C53125"/>
    <w:rsid w:val="00C53E77"/>
    <w:rsid w:val="00C7487A"/>
    <w:rsid w:val="00C77A78"/>
    <w:rsid w:val="00C817C6"/>
    <w:rsid w:val="00C82B8C"/>
    <w:rsid w:val="00C91F02"/>
    <w:rsid w:val="00CA38D1"/>
    <w:rsid w:val="00CA488E"/>
    <w:rsid w:val="00CB0BCF"/>
    <w:rsid w:val="00CB2756"/>
    <w:rsid w:val="00CB494E"/>
    <w:rsid w:val="00CB6DB2"/>
    <w:rsid w:val="00CC5D78"/>
    <w:rsid w:val="00CC5EB9"/>
    <w:rsid w:val="00CF6F75"/>
    <w:rsid w:val="00D00B33"/>
    <w:rsid w:val="00D0137B"/>
    <w:rsid w:val="00D20213"/>
    <w:rsid w:val="00D20BF1"/>
    <w:rsid w:val="00D31434"/>
    <w:rsid w:val="00D35458"/>
    <w:rsid w:val="00D42E6A"/>
    <w:rsid w:val="00D44088"/>
    <w:rsid w:val="00D4520C"/>
    <w:rsid w:val="00D45BF4"/>
    <w:rsid w:val="00D506D8"/>
    <w:rsid w:val="00D519D5"/>
    <w:rsid w:val="00D53EAE"/>
    <w:rsid w:val="00D61242"/>
    <w:rsid w:val="00D65EFA"/>
    <w:rsid w:val="00D73595"/>
    <w:rsid w:val="00D74B48"/>
    <w:rsid w:val="00D75638"/>
    <w:rsid w:val="00D84E18"/>
    <w:rsid w:val="00D907E3"/>
    <w:rsid w:val="00D933B8"/>
    <w:rsid w:val="00D973C8"/>
    <w:rsid w:val="00DA11C1"/>
    <w:rsid w:val="00DA2214"/>
    <w:rsid w:val="00DA6958"/>
    <w:rsid w:val="00DB59F9"/>
    <w:rsid w:val="00DC25BA"/>
    <w:rsid w:val="00DC391D"/>
    <w:rsid w:val="00DD41BF"/>
    <w:rsid w:val="00DD7EB5"/>
    <w:rsid w:val="00DE1BA8"/>
    <w:rsid w:val="00DE41AD"/>
    <w:rsid w:val="00E053A9"/>
    <w:rsid w:val="00E1338C"/>
    <w:rsid w:val="00E13458"/>
    <w:rsid w:val="00E3234F"/>
    <w:rsid w:val="00E501DE"/>
    <w:rsid w:val="00E54DAD"/>
    <w:rsid w:val="00E666CE"/>
    <w:rsid w:val="00E67E82"/>
    <w:rsid w:val="00E727BF"/>
    <w:rsid w:val="00E83165"/>
    <w:rsid w:val="00E84D77"/>
    <w:rsid w:val="00E85E1D"/>
    <w:rsid w:val="00E877BE"/>
    <w:rsid w:val="00E91EA8"/>
    <w:rsid w:val="00E9390A"/>
    <w:rsid w:val="00EA0118"/>
    <w:rsid w:val="00EA49CB"/>
    <w:rsid w:val="00EA52DD"/>
    <w:rsid w:val="00EE0E7A"/>
    <w:rsid w:val="00EF6191"/>
    <w:rsid w:val="00EF74F3"/>
    <w:rsid w:val="00F06C6E"/>
    <w:rsid w:val="00F16FCA"/>
    <w:rsid w:val="00F20A89"/>
    <w:rsid w:val="00F237AD"/>
    <w:rsid w:val="00F30EEC"/>
    <w:rsid w:val="00F33A95"/>
    <w:rsid w:val="00F36FCB"/>
    <w:rsid w:val="00F4006C"/>
    <w:rsid w:val="00F44B46"/>
    <w:rsid w:val="00F53CE5"/>
    <w:rsid w:val="00F54991"/>
    <w:rsid w:val="00F624E4"/>
    <w:rsid w:val="00F63C2E"/>
    <w:rsid w:val="00F82FA6"/>
    <w:rsid w:val="00F83CE9"/>
    <w:rsid w:val="00F878F7"/>
    <w:rsid w:val="00F91F08"/>
    <w:rsid w:val="00F930EB"/>
    <w:rsid w:val="00FA7192"/>
    <w:rsid w:val="00FB4290"/>
    <w:rsid w:val="00FB6EA8"/>
    <w:rsid w:val="00FB71D5"/>
    <w:rsid w:val="00FB7DAE"/>
    <w:rsid w:val="00FB7F4B"/>
    <w:rsid w:val="00FE60FF"/>
    <w:rsid w:val="00FF2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628B5F-33F7-4018-AEC2-7A523AB5C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E7F83"/>
    <w:pPr>
      <w:spacing w:after="0" w:line="240" w:lineRule="auto"/>
    </w:pPr>
  </w:style>
  <w:style w:type="paragraph" w:styleId="ListParagraph">
    <w:name w:val="List Paragraph"/>
    <w:basedOn w:val="Normal"/>
    <w:uiPriority w:val="34"/>
    <w:qFormat/>
    <w:rsid w:val="00FA7192"/>
    <w:pPr>
      <w:ind w:left="720"/>
      <w:contextualSpacing/>
    </w:pPr>
  </w:style>
  <w:style w:type="character" w:styleId="Hyperlink">
    <w:name w:val="Hyperlink"/>
    <w:basedOn w:val="DefaultParagraphFont"/>
    <w:uiPriority w:val="99"/>
    <w:unhideWhenUsed/>
    <w:rsid w:val="0040275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5643080">
      <w:bodyDiv w:val="1"/>
      <w:marLeft w:val="0"/>
      <w:marRight w:val="0"/>
      <w:marTop w:val="0"/>
      <w:marBottom w:val="0"/>
      <w:divBdr>
        <w:top w:val="none" w:sz="0" w:space="0" w:color="auto"/>
        <w:left w:val="none" w:sz="0" w:space="0" w:color="auto"/>
        <w:bottom w:val="none" w:sz="0" w:space="0" w:color="auto"/>
        <w:right w:val="none" w:sz="0" w:space="0" w:color="auto"/>
      </w:divBdr>
    </w:div>
    <w:div w:id="387454686">
      <w:bodyDiv w:val="1"/>
      <w:marLeft w:val="0"/>
      <w:marRight w:val="0"/>
      <w:marTop w:val="0"/>
      <w:marBottom w:val="0"/>
      <w:divBdr>
        <w:top w:val="none" w:sz="0" w:space="0" w:color="auto"/>
        <w:left w:val="none" w:sz="0" w:space="0" w:color="auto"/>
        <w:bottom w:val="none" w:sz="0" w:space="0" w:color="auto"/>
        <w:right w:val="none" w:sz="0" w:space="0" w:color="auto"/>
      </w:divBdr>
      <w:divsChild>
        <w:div w:id="1374841006">
          <w:marLeft w:val="0"/>
          <w:marRight w:val="0"/>
          <w:marTop w:val="0"/>
          <w:marBottom w:val="0"/>
          <w:divBdr>
            <w:top w:val="none" w:sz="0" w:space="0" w:color="auto"/>
            <w:left w:val="none" w:sz="0" w:space="0" w:color="auto"/>
            <w:bottom w:val="none" w:sz="0" w:space="0" w:color="auto"/>
            <w:right w:val="none" w:sz="0" w:space="0" w:color="auto"/>
          </w:divBdr>
        </w:div>
        <w:div w:id="23211819">
          <w:marLeft w:val="0"/>
          <w:marRight w:val="0"/>
          <w:marTop w:val="0"/>
          <w:marBottom w:val="0"/>
          <w:divBdr>
            <w:top w:val="none" w:sz="0" w:space="0" w:color="auto"/>
            <w:left w:val="none" w:sz="0" w:space="0" w:color="auto"/>
            <w:bottom w:val="none" w:sz="0" w:space="0" w:color="auto"/>
            <w:right w:val="none" w:sz="0" w:space="0" w:color="auto"/>
          </w:divBdr>
        </w:div>
        <w:div w:id="766924933">
          <w:marLeft w:val="0"/>
          <w:marRight w:val="0"/>
          <w:marTop w:val="0"/>
          <w:marBottom w:val="0"/>
          <w:divBdr>
            <w:top w:val="none" w:sz="0" w:space="0" w:color="auto"/>
            <w:left w:val="none" w:sz="0" w:space="0" w:color="auto"/>
            <w:bottom w:val="none" w:sz="0" w:space="0" w:color="auto"/>
            <w:right w:val="none" w:sz="0" w:space="0" w:color="auto"/>
          </w:divBdr>
        </w:div>
        <w:div w:id="2051343072">
          <w:marLeft w:val="0"/>
          <w:marRight w:val="0"/>
          <w:marTop w:val="0"/>
          <w:marBottom w:val="0"/>
          <w:divBdr>
            <w:top w:val="none" w:sz="0" w:space="0" w:color="auto"/>
            <w:left w:val="none" w:sz="0" w:space="0" w:color="auto"/>
            <w:bottom w:val="none" w:sz="0" w:space="0" w:color="auto"/>
            <w:right w:val="none" w:sz="0" w:space="0" w:color="auto"/>
          </w:divBdr>
        </w:div>
        <w:div w:id="1387293873">
          <w:marLeft w:val="0"/>
          <w:marRight w:val="0"/>
          <w:marTop w:val="0"/>
          <w:marBottom w:val="0"/>
          <w:divBdr>
            <w:top w:val="none" w:sz="0" w:space="0" w:color="auto"/>
            <w:left w:val="none" w:sz="0" w:space="0" w:color="auto"/>
            <w:bottom w:val="none" w:sz="0" w:space="0" w:color="auto"/>
            <w:right w:val="none" w:sz="0" w:space="0" w:color="auto"/>
          </w:divBdr>
        </w:div>
        <w:div w:id="2068646957">
          <w:marLeft w:val="0"/>
          <w:marRight w:val="0"/>
          <w:marTop w:val="0"/>
          <w:marBottom w:val="0"/>
          <w:divBdr>
            <w:top w:val="none" w:sz="0" w:space="0" w:color="auto"/>
            <w:left w:val="none" w:sz="0" w:space="0" w:color="auto"/>
            <w:bottom w:val="none" w:sz="0" w:space="0" w:color="auto"/>
            <w:right w:val="none" w:sz="0" w:space="0" w:color="auto"/>
          </w:divBdr>
        </w:div>
        <w:div w:id="738480437">
          <w:marLeft w:val="0"/>
          <w:marRight w:val="0"/>
          <w:marTop w:val="0"/>
          <w:marBottom w:val="0"/>
          <w:divBdr>
            <w:top w:val="none" w:sz="0" w:space="0" w:color="auto"/>
            <w:left w:val="none" w:sz="0" w:space="0" w:color="auto"/>
            <w:bottom w:val="none" w:sz="0" w:space="0" w:color="auto"/>
            <w:right w:val="none" w:sz="0" w:space="0" w:color="auto"/>
          </w:divBdr>
        </w:div>
        <w:div w:id="198013953">
          <w:marLeft w:val="0"/>
          <w:marRight w:val="0"/>
          <w:marTop w:val="0"/>
          <w:marBottom w:val="0"/>
          <w:divBdr>
            <w:top w:val="none" w:sz="0" w:space="0" w:color="auto"/>
            <w:left w:val="none" w:sz="0" w:space="0" w:color="auto"/>
            <w:bottom w:val="none" w:sz="0" w:space="0" w:color="auto"/>
            <w:right w:val="none" w:sz="0" w:space="0" w:color="auto"/>
          </w:divBdr>
        </w:div>
        <w:div w:id="48653759">
          <w:marLeft w:val="0"/>
          <w:marRight w:val="0"/>
          <w:marTop w:val="0"/>
          <w:marBottom w:val="0"/>
          <w:divBdr>
            <w:top w:val="none" w:sz="0" w:space="0" w:color="auto"/>
            <w:left w:val="none" w:sz="0" w:space="0" w:color="auto"/>
            <w:bottom w:val="none" w:sz="0" w:space="0" w:color="auto"/>
            <w:right w:val="none" w:sz="0" w:space="0" w:color="auto"/>
          </w:divBdr>
        </w:div>
        <w:div w:id="85808619">
          <w:marLeft w:val="0"/>
          <w:marRight w:val="0"/>
          <w:marTop w:val="0"/>
          <w:marBottom w:val="0"/>
          <w:divBdr>
            <w:top w:val="none" w:sz="0" w:space="0" w:color="auto"/>
            <w:left w:val="none" w:sz="0" w:space="0" w:color="auto"/>
            <w:bottom w:val="none" w:sz="0" w:space="0" w:color="auto"/>
            <w:right w:val="none" w:sz="0" w:space="0" w:color="auto"/>
          </w:divBdr>
        </w:div>
        <w:div w:id="914631548">
          <w:marLeft w:val="0"/>
          <w:marRight w:val="0"/>
          <w:marTop w:val="0"/>
          <w:marBottom w:val="0"/>
          <w:divBdr>
            <w:top w:val="none" w:sz="0" w:space="0" w:color="auto"/>
            <w:left w:val="none" w:sz="0" w:space="0" w:color="auto"/>
            <w:bottom w:val="none" w:sz="0" w:space="0" w:color="auto"/>
            <w:right w:val="none" w:sz="0" w:space="0" w:color="auto"/>
          </w:divBdr>
        </w:div>
        <w:div w:id="1142573302">
          <w:marLeft w:val="0"/>
          <w:marRight w:val="0"/>
          <w:marTop w:val="0"/>
          <w:marBottom w:val="0"/>
          <w:divBdr>
            <w:top w:val="none" w:sz="0" w:space="0" w:color="auto"/>
            <w:left w:val="none" w:sz="0" w:space="0" w:color="auto"/>
            <w:bottom w:val="none" w:sz="0" w:space="0" w:color="auto"/>
            <w:right w:val="none" w:sz="0" w:space="0" w:color="auto"/>
          </w:divBdr>
        </w:div>
        <w:div w:id="620451706">
          <w:marLeft w:val="0"/>
          <w:marRight w:val="0"/>
          <w:marTop w:val="0"/>
          <w:marBottom w:val="0"/>
          <w:divBdr>
            <w:top w:val="none" w:sz="0" w:space="0" w:color="auto"/>
            <w:left w:val="none" w:sz="0" w:space="0" w:color="auto"/>
            <w:bottom w:val="none" w:sz="0" w:space="0" w:color="auto"/>
            <w:right w:val="none" w:sz="0" w:space="0" w:color="auto"/>
          </w:divBdr>
        </w:div>
      </w:divsChild>
    </w:div>
    <w:div w:id="584339395">
      <w:bodyDiv w:val="1"/>
      <w:marLeft w:val="0"/>
      <w:marRight w:val="0"/>
      <w:marTop w:val="0"/>
      <w:marBottom w:val="0"/>
      <w:divBdr>
        <w:top w:val="none" w:sz="0" w:space="0" w:color="auto"/>
        <w:left w:val="none" w:sz="0" w:space="0" w:color="auto"/>
        <w:bottom w:val="none" w:sz="0" w:space="0" w:color="auto"/>
        <w:right w:val="none" w:sz="0" w:space="0" w:color="auto"/>
      </w:divBdr>
    </w:div>
    <w:div w:id="826898031">
      <w:bodyDiv w:val="1"/>
      <w:marLeft w:val="0"/>
      <w:marRight w:val="0"/>
      <w:marTop w:val="0"/>
      <w:marBottom w:val="0"/>
      <w:divBdr>
        <w:top w:val="none" w:sz="0" w:space="0" w:color="auto"/>
        <w:left w:val="none" w:sz="0" w:space="0" w:color="auto"/>
        <w:bottom w:val="none" w:sz="0" w:space="0" w:color="auto"/>
        <w:right w:val="none" w:sz="0" w:space="0" w:color="auto"/>
      </w:divBdr>
    </w:div>
    <w:div w:id="1531717961">
      <w:bodyDiv w:val="1"/>
      <w:marLeft w:val="0"/>
      <w:marRight w:val="0"/>
      <w:marTop w:val="0"/>
      <w:marBottom w:val="0"/>
      <w:divBdr>
        <w:top w:val="none" w:sz="0" w:space="0" w:color="auto"/>
        <w:left w:val="none" w:sz="0" w:space="0" w:color="auto"/>
        <w:bottom w:val="none" w:sz="0" w:space="0" w:color="auto"/>
        <w:right w:val="none" w:sz="0" w:space="0" w:color="auto"/>
      </w:divBdr>
      <w:divsChild>
        <w:div w:id="1419327093">
          <w:marLeft w:val="0"/>
          <w:marRight w:val="0"/>
          <w:marTop w:val="0"/>
          <w:marBottom w:val="0"/>
          <w:divBdr>
            <w:top w:val="none" w:sz="0" w:space="0" w:color="auto"/>
            <w:left w:val="none" w:sz="0" w:space="0" w:color="auto"/>
            <w:bottom w:val="none" w:sz="0" w:space="0" w:color="auto"/>
            <w:right w:val="none" w:sz="0" w:space="0" w:color="auto"/>
          </w:divBdr>
        </w:div>
        <w:div w:id="748230106">
          <w:marLeft w:val="0"/>
          <w:marRight w:val="0"/>
          <w:marTop w:val="0"/>
          <w:marBottom w:val="0"/>
          <w:divBdr>
            <w:top w:val="none" w:sz="0" w:space="0" w:color="auto"/>
            <w:left w:val="none" w:sz="0" w:space="0" w:color="auto"/>
            <w:bottom w:val="none" w:sz="0" w:space="0" w:color="auto"/>
            <w:right w:val="none" w:sz="0" w:space="0" w:color="auto"/>
          </w:divBdr>
        </w:div>
        <w:div w:id="1766265401">
          <w:marLeft w:val="0"/>
          <w:marRight w:val="0"/>
          <w:marTop w:val="0"/>
          <w:marBottom w:val="0"/>
          <w:divBdr>
            <w:top w:val="none" w:sz="0" w:space="0" w:color="auto"/>
            <w:left w:val="none" w:sz="0" w:space="0" w:color="auto"/>
            <w:bottom w:val="none" w:sz="0" w:space="0" w:color="auto"/>
            <w:right w:val="none" w:sz="0" w:space="0" w:color="auto"/>
          </w:divBdr>
        </w:div>
        <w:div w:id="806817751">
          <w:marLeft w:val="0"/>
          <w:marRight w:val="0"/>
          <w:marTop w:val="0"/>
          <w:marBottom w:val="0"/>
          <w:divBdr>
            <w:top w:val="none" w:sz="0" w:space="0" w:color="auto"/>
            <w:left w:val="none" w:sz="0" w:space="0" w:color="auto"/>
            <w:bottom w:val="none" w:sz="0" w:space="0" w:color="auto"/>
            <w:right w:val="none" w:sz="0" w:space="0" w:color="auto"/>
          </w:divBdr>
        </w:div>
        <w:div w:id="10636804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hart" Target="charts/chart1.xml"/><Relationship Id="rId5" Type="http://schemas.openxmlformats.org/officeDocument/2006/relationships/webSettings" Target="webSettings.xml"/><Relationship Id="rId4" Type="http://schemas.openxmlformats.org/officeDocument/2006/relationships/settings" Target="settings.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ctr">
              <a:defRPr sz="1400" b="1" i="1"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sr-Cyrl-RS" b="1" i="0">
                <a:latin typeface="Times New Roman" panose="02020603050405020304" pitchFamily="18" charset="0"/>
                <a:cs typeface="Times New Roman" panose="02020603050405020304" pitchFamily="18" charset="0"/>
              </a:rPr>
              <a:t>РЕЗУЛТАТИ АНКЕТИРАЊА-АНАЛИЗА</a:t>
            </a:r>
          </a:p>
        </c:rich>
      </c:tx>
      <c:overlay val="0"/>
      <c:spPr>
        <a:noFill/>
        <a:ln>
          <a:noFill/>
        </a:ln>
        <a:effectLst/>
      </c:spPr>
      <c:txPr>
        <a:bodyPr rot="0" spcFirstLastPara="1" vertOverflow="ellipsis" vert="horz" wrap="square" anchor="ctr" anchorCtr="1"/>
        <a:lstStyle/>
        <a:p>
          <a:pPr algn="ctr">
            <a:defRPr sz="1400" b="1" i="1"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Sheet1!$B$1</c:f>
              <c:strCache>
                <c:ptCount val="1"/>
                <c:pt idx="0">
                  <c:v>самостално</c:v>
                </c:pt>
              </c:strCache>
            </c:strRef>
          </c:tx>
          <c:spPr>
            <a:solidFill>
              <a:schemeClr val="accent1"/>
            </a:solidFill>
            <a:ln>
              <a:noFill/>
            </a:ln>
            <a:effectLst/>
          </c:spPr>
          <c:invertIfNegative val="0"/>
          <c:cat>
            <c:strRef>
              <c:f>Sheet1!$A$2:$A$5</c:f>
              <c:strCache>
                <c:ptCount val="2"/>
                <c:pt idx="0">
                  <c:v>мај 2016</c:v>
                </c:pt>
                <c:pt idx="1">
                  <c:v>децембар 2016</c:v>
                </c:pt>
              </c:strCache>
            </c:strRef>
          </c:cat>
          <c:val>
            <c:numRef>
              <c:f>Sheet1!$B$2:$B$5</c:f>
              <c:numCache>
                <c:formatCode>General</c:formatCode>
                <c:ptCount val="4"/>
                <c:pt idx="0">
                  <c:v>36</c:v>
                </c:pt>
                <c:pt idx="1">
                  <c:v>17</c:v>
                </c:pt>
              </c:numCache>
            </c:numRef>
          </c:val>
        </c:ser>
        <c:ser>
          <c:idx val="1"/>
          <c:order val="1"/>
          <c:tx>
            <c:strRef>
              <c:f>Sheet1!$C$1</c:f>
              <c:strCache>
                <c:ptCount val="1"/>
                <c:pt idx="0">
                  <c:v>овлашћени пројектни биро</c:v>
                </c:pt>
              </c:strCache>
            </c:strRef>
          </c:tx>
          <c:spPr>
            <a:solidFill>
              <a:schemeClr val="accent2"/>
            </a:solidFill>
            <a:ln>
              <a:noFill/>
            </a:ln>
            <a:effectLst/>
          </c:spPr>
          <c:invertIfNegative val="0"/>
          <c:cat>
            <c:strRef>
              <c:f>Sheet1!$A$2:$A$5</c:f>
              <c:strCache>
                <c:ptCount val="2"/>
                <c:pt idx="0">
                  <c:v>мај 2016</c:v>
                </c:pt>
                <c:pt idx="1">
                  <c:v>децембар 2016</c:v>
                </c:pt>
              </c:strCache>
            </c:strRef>
          </c:cat>
          <c:val>
            <c:numRef>
              <c:f>Sheet1!$C$2:$C$5</c:f>
              <c:numCache>
                <c:formatCode>General</c:formatCode>
                <c:ptCount val="4"/>
                <c:pt idx="0">
                  <c:v>64</c:v>
                </c:pt>
                <c:pt idx="1">
                  <c:v>83</c:v>
                </c:pt>
              </c:numCache>
            </c:numRef>
          </c:val>
        </c:ser>
        <c:ser>
          <c:idx val="2"/>
          <c:order val="2"/>
          <c:tx>
            <c:strRef>
              <c:f>Sheet1!$D$1</c:f>
              <c:strCache>
                <c:ptCount val="1"/>
                <c:pt idx="0">
                  <c:v>индикатор</c:v>
                </c:pt>
              </c:strCache>
            </c:strRef>
          </c:tx>
          <c:spPr>
            <a:solidFill>
              <a:schemeClr val="accent3"/>
            </a:solidFill>
            <a:ln>
              <a:noFill/>
            </a:ln>
            <a:effectLst/>
          </c:spPr>
          <c:invertIfNegative val="0"/>
          <c:cat>
            <c:strRef>
              <c:f>Sheet1!$A$2:$A$5</c:f>
              <c:strCache>
                <c:ptCount val="2"/>
                <c:pt idx="0">
                  <c:v>мај 2016</c:v>
                </c:pt>
                <c:pt idx="1">
                  <c:v>децембар 2016</c:v>
                </c:pt>
              </c:strCache>
            </c:strRef>
          </c:cat>
          <c:val>
            <c:numRef>
              <c:f>Sheet1!$D$2:$D$5</c:f>
              <c:numCache>
                <c:formatCode>General</c:formatCode>
                <c:ptCount val="4"/>
                <c:pt idx="0">
                  <c:v>28</c:v>
                </c:pt>
                <c:pt idx="1">
                  <c:v>66</c:v>
                </c:pt>
              </c:numCache>
            </c:numRef>
          </c:val>
        </c:ser>
        <c:dLbls>
          <c:showLegendKey val="0"/>
          <c:showVal val="0"/>
          <c:showCatName val="0"/>
          <c:showSerName val="0"/>
          <c:showPercent val="0"/>
          <c:showBubbleSize val="0"/>
        </c:dLbls>
        <c:gapWidth val="219"/>
        <c:overlap val="-27"/>
        <c:axId val="1854737872"/>
        <c:axId val="1845457088"/>
      </c:barChart>
      <c:catAx>
        <c:axId val="1854737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45457088"/>
        <c:crosses val="autoZero"/>
        <c:auto val="1"/>
        <c:lblAlgn val="ctr"/>
        <c:lblOffset val="100"/>
        <c:noMultiLvlLbl val="0"/>
      </c:catAx>
      <c:valAx>
        <c:axId val="18454570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47378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ADD78C-D385-4C0B-B1F4-4D59C0ABC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7411</TotalTime>
  <Pages>3</Pages>
  <Words>762</Words>
  <Characters>4347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ALER 5</dc:creator>
  <cp:lastModifiedBy>marina</cp:lastModifiedBy>
  <cp:revision>189</cp:revision>
  <cp:lastPrinted>2014-10-20T09:37:00Z</cp:lastPrinted>
  <dcterms:created xsi:type="dcterms:W3CDTF">2013-08-02T06:27:00Z</dcterms:created>
  <dcterms:modified xsi:type="dcterms:W3CDTF">2017-01-10T10:28:00Z</dcterms:modified>
</cp:coreProperties>
</file>