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6AD" w:rsidRDefault="006C113A" w:rsidP="005106AD">
      <w:pPr>
        <w:ind w:firstLine="720"/>
        <w:rPr>
          <w:rFonts w:ascii="Times New Roman" w:hAnsi="Times New Roman"/>
          <w:sz w:val="24"/>
          <w:szCs w:val="24"/>
          <w:lang/>
        </w:rPr>
      </w:pPr>
      <w:r w:rsidRPr="006C113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819275"/>
            <wp:effectExtent l="0" t="0" r="0" b="9525"/>
            <wp:wrapSquare wrapText="bothSides"/>
            <wp:docPr id="1" name="Picture 1" descr="C:\Users\marina\Desktop\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g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2C48">
        <w:rPr>
          <w:rFonts w:ascii="Times New Roman" w:hAnsi="Times New Roman"/>
          <w:sz w:val="24"/>
          <w:szCs w:val="24"/>
          <w:lang/>
        </w:rPr>
        <w:br w:type="textWrapping" w:clear="all"/>
      </w:r>
    </w:p>
    <w:p w:rsidR="005106AD" w:rsidRPr="005106AD" w:rsidRDefault="005106AD" w:rsidP="005106AD">
      <w:pPr>
        <w:pStyle w:val="NoSpacing"/>
        <w:rPr>
          <w:rFonts w:ascii="Times New Roman" w:hAnsi="Times New Roman"/>
          <w:sz w:val="24"/>
          <w:szCs w:val="24"/>
        </w:rPr>
      </w:pPr>
      <w:r w:rsidRPr="005106AD">
        <w:rPr>
          <w:rFonts w:ascii="Times New Roman" w:hAnsi="Times New Roman"/>
          <w:sz w:val="24"/>
          <w:szCs w:val="24"/>
        </w:rPr>
        <w:t>GRAD LESKOVAC</w:t>
      </w:r>
    </w:p>
    <w:p w:rsidR="005106AD" w:rsidRPr="005106AD" w:rsidRDefault="005106AD" w:rsidP="005106AD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106AD">
        <w:rPr>
          <w:rFonts w:ascii="Times New Roman" w:hAnsi="Times New Roman"/>
          <w:sz w:val="24"/>
          <w:szCs w:val="24"/>
        </w:rPr>
        <w:t>Gradska</w:t>
      </w:r>
      <w:proofErr w:type="spellEnd"/>
      <w:r w:rsidRPr="00510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6AD">
        <w:rPr>
          <w:rFonts w:ascii="Times New Roman" w:hAnsi="Times New Roman"/>
          <w:sz w:val="24"/>
          <w:szCs w:val="24"/>
        </w:rPr>
        <w:t>uprava</w:t>
      </w:r>
      <w:proofErr w:type="spellEnd"/>
    </w:p>
    <w:p w:rsidR="005106AD" w:rsidRPr="005106AD" w:rsidRDefault="005106AD" w:rsidP="005106AD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5106AD">
        <w:rPr>
          <w:rFonts w:ascii="Times New Roman" w:hAnsi="Times New Roman"/>
          <w:sz w:val="24"/>
          <w:szCs w:val="24"/>
        </w:rPr>
        <w:t>Odeljenje</w:t>
      </w:r>
      <w:proofErr w:type="spellEnd"/>
      <w:r w:rsidRPr="00510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6AD">
        <w:rPr>
          <w:rFonts w:ascii="Times New Roman" w:hAnsi="Times New Roman"/>
          <w:sz w:val="24"/>
          <w:szCs w:val="24"/>
        </w:rPr>
        <w:t>za</w:t>
      </w:r>
      <w:proofErr w:type="spellEnd"/>
      <w:r w:rsidRPr="00510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6AD">
        <w:rPr>
          <w:rFonts w:ascii="Times New Roman" w:hAnsi="Times New Roman"/>
          <w:sz w:val="24"/>
          <w:szCs w:val="24"/>
        </w:rPr>
        <w:t>pružanje</w:t>
      </w:r>
      <w:proofErr w:type="spellEnd"/>
      <w:r w:rsidRPr="00510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6AD">
        <w:rPr>
          <w:rFonts w:ascii="Times New Roman" w:hAnsi="Times New Roman"/>
          <w:sz w:val="24"/>
          <w:szCs w:val="24"/>
        </w:rPr>
        <w:t>usluge</w:t>
      </w:r>
      <w:proofErr w:type="spellEnd"/>
      <w:r w:rsidRPr="005106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06AD">
        <w:rPr>
          <w:rFonts w:ascii="Times New Roman" w:hAnsi="Times New Roman"/>
          <w:sz w:val="24"/>
          <w:szCs w:val="24"/>
        </w:rPr>
        <w:t>građanima</w:t>
      </w:r>
      <w:proofErr w:type="spellEnd"/>
    </w:p>
    <w:p w:rsidR="005106AD" w:rsidRPr="005106AD" w:rsidRDefault="005106AD" w:rsidP="005106AD">
      <w:pPr>
        <w:ind w:firstLine="720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center"/>
        <w:rPr>
          <w:rFonts w:ascii="Times New Roman" w:hAnsi="Times New Roman"/>
          <w:b/>
          <w:sz w:val="24"/>
          <w:szCs w:val="24"/>
          <w:lang/>
        </w:rPr>
      </w:pPr>
      <w:r w:rsidRPr="005106AD">
        <w:rPr>
          <w:rFonts w:ascii="Times New Roman" w:hAnsi="Times New Roman"/>
          <w:b/>
          <w:sz w:val="24"/>
          <w:szCs w:val="24"/>
          <w:lang/>
        </w:rPr>
        <w:t>ANALIZA REZULTATA ANKETE O USLOVIMA I NAČINIMA PODNOŠENjA ELEKTRONSKE DOZVOLE ZA IZGRADNjU</w:t>
      </w:r>
    </w:p>
    <w:p w:rsidR="005106AD" w:rsidRPr="005106AD" w:rsidRDefault="005106AD" w:rsidP="005106AD">
      <w:pPr>
        <w:ind w:firstLine="720"/>
        <w:jc w:val="center"/>
        <w:rPr>
          <w:rFonts w:ascii="Times New Roman" w:hAnsi="Times New Roman"/>
          <w:b/>
          <w:sz w:val="24"/>
          <w:szCs w:val="24"/>
          <w:lang/>
        </w:rPr>
      </w:pPr>
      <w:r w:rsidRPr="005106AD">
        <w:rPr>
          <w:rFonts w:ascii="Times New Roman" w:hAnsi="Times New Roman"/>
          <w:b/>
          <w:sz w:val="24"/>
          <w:szCs w:val="24"/>
          <w:lang/>
        </w:rPr>
        <w:t>15.11.2018.-15.12.2018.godine</w:t>
      </w:r>
    </w:p>
    <w:p w:rsidR="005106AD" w:rsidRPr="005106AD" w:rsidRDefault="005106AD" w:rsidP="005106AD">
      <w:pPr>
        <w:ind w:firstLine="720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Od trenutka kada je uvedena e-dozvola izvšeno je dosta izmena  i dopuna na osnovu sugestija upošljenika ovlašćenih projektnih biroa i Odeljenja za urbanizam. Nadogradnja sistema u toku rada doprinela je da je zadovoljstvo programom obostrano.  Ujedno je saradnja između Odeljenja za urbanizam i projektnih biroa postala usaglašenija i kvalitetnija. Projektni biroi su zadovoljni saradnjom i ažurnošću Odeljenja prilikom dostave podataka o svim vrstama izmena vezanih za dobijanje e-dozvole.Kao rezultat toga proizilazi i izmena i nadogradnja  anketnih pitanja.</w:t>
      </w:r>
    </w:p>
    <w:p w:rsidR="005106AD" w:rsidRPr="005106AD" w:rsidRDefault="005106AD" w:rsidP="005106AD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</w:t>
      </w:r>
      <w:r w:rsidRPr="005106AD">
        <w:rPr>
          <w:rFonts w:ascii="Times New Roman" w:hAnsi="Times New Roman"/>
          <w:sz w:val="24"/>
          <w:szCs w:val="24"/>
          <w:lang/>
        </w:rPr>
        <w:t>Drugo po redu anketiranje, vršeno je u četvrtom kvartalu, po unapred utvrđenim pitanjima  koja su izmenjena i nadograđena u odnosu na raniji period. Anketiranje je vršeno u periodu od 15.11.2018. do 15.12.2018.godine. Ispitivanja i dobijanje opširnijih odgovora sa predlozima za poboljšanje i ovog puta je imalo isti cilj a to je unapređenje rada. Distribuiranje anketnih pitanja obavljeno je elektronskim putem i putem štampanog materijala u formi kratkih pitanja .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 xml:space="preserve">U predviđenom periodu, ukupno je anketirano 50 lica. Na prvo pitanje, na koji način podnose zahteve za dozvolu za gradnju, 98% ispitanih je odgovorilo da zahteve podnosi preko </w:t>
      </w:r>
      <w:r w:rsidRPr="005106AD">
        <w:rPr>
          <w:rFonts w:ascii="Times New Roman" w:hAnsi="Times New Roman"/>
          <w:sz w:val="24"/>
          <w:szCs w:val="24"/>
          <w:lang/>
        </w:rPr>
        <w:lastRenderedPageBreak/>
        <w:t xml:space="preserve">ovlašćenog projektnog biroa. Nedoumice oko gradnje, ispitanici su rešavali tako što se 61% obraćao projektnim biroima, 32%  od ukupnog broja ispitanih se informisao na sajtu Objedinjene procedure.Ispunjenost od 100% kod odgovora da tarifnik, koji je postavljen na sajtu objedinjene procedure, pomaže  oko uplate administrativnih taksi i provere ispravnosti kod finansijskog referenta rezultira time da je ažurnost sajta veoma doprinela posećenosti istog i upotrebi određenih brošura.Pozitivan stav praćenja objavljenih dokumenata na sajtu Objedinjene procedure imalo je 58% ispitanika . Većina ispitanika je dalo odgovor da organ nadležanza upis na nepokretnostima i pravima na njima u javnoj knjizi izuzetno utiče na vreme dobijanja dozvola za gradnju, čak 93%. Ispitivanjem u periodu dolazimo do saznanja da je olakšana pretraga za željena dokumenta u elektronskom registru administrativnih postupaka, koji se nalazi na sajtu Grada Leskovca. Procenat ispunjenosti je 74%. 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Prepreke koje se i dalje javljaju prilikom unošenja dokumentacije u sistem Centralne evidencije objedinjene procedure (CEOP-a), a na koje su ovlašćeni projektni biroi već reagovalijesu blokade sistema prilikom slanja elektronske dokumentacije. Postavlja se pitanje od strane projektnih biroa kako obrisati predmet iz sistema koji je zastareo i od kojeg su podnosioci odustali.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 xml:space="preserve"> Sugestija i predlog za poboljšanje ažurnosti i komunikacije između projektnih biroa i CEOP-a  je da se na postavljena pitanja kojima se projektni biroi obraćaju CEOP- u ne odgovara uvek citiranjem određenih članova iz zakona već da se malo poboljša međusobna komunikacija kako bi se brže i lakše prevazišle sve nejasnoće i nedoumice. 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Sledi prikaz anketnih pitanja: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1. Zahteve za dozvolu za gradnju podnosite: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Samostalno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Pomoću ovlašćenog projektnog biroa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Pomoću drugih stručnih lica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2. Da li ste nedoumice oko gradnje proverili: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Na sajtu ministarsta građevinarsta saobraćaja i infrastrukture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Na sajtu Objedinjene procedure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Lično, na šalteru Uslužnog centra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</w:t>
      </w:r>
      <w:r w:rsidRPr="005106AD">
        <w:rPr>
          <w:rFonts w:ascii="Times New Roman" w:hAnsi="Times New Roman"/>
          <w:sz w:val="24"/>
          <w:szCs w:val="24"/>
          <w:lang/>
        </w:rPr>
        <w:tab/>
        <w:t>Kod ovlašćenog projektnog biroa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lastRenderedPageBreak/>
        <w:t>3. Na sajtu Objedinjene procedure postavljen je jedinstveni tarifnik i cenovnik troškova potrebnih prilikom izgradnje. Da li Vam pomaže oko uplate administrativnih taksi i provere ispravnosti kod finansijskog referenta?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-NE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4. Da li pratite  objavljivanje izdatih lokacijskih uslova, građevinske i upotrebne dozvole i zaključke o odbacivanju na sajtu Objedinjene procedure?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 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 NE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 INFORMIŠEM SE TELEFONSKIM PUTEM U USLUŽNOM CENTRU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5. Da li organ nadležan za upis na nepokretnostima i pravima na njima u javnoj knjizi utiče na vreme dobijanja dozvola za gradnju?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a. IZUZETNO  b. UTIČE      c. BEZ MIŠLjENjA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6.  Da li je efikasnije sprovođenje objedinjene procedure od početka rada registratora centralne evidencije?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-NE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7. U procesu je postupak unapređenja odnosa grada prema investitorima putem uvođenja GIS-a. Da li će primena istog ubrzati i omogućiti lakšu pretragu traženih parcela?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-NE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-VEROVATNO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8.  U elektronskom registru administrativnih postupaka, koji se nalazi na sajtu Grada Leskovca, na svakom obrazcu je redosledom objašnjen postupak za ostvarenje istih. Da li je postojanjem registra olakšana pretraga potrebne dokumentacije?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 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- NE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lastRenderedPageBreak/>
        <w:t>- MOŽDA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9. PREDLOZI ZA POBOLjŠANjE/PREPREKE U RADU</w:t>
      </w: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</w:p>
    <w:p w:rsidR="005106AD" w:rsidRPr="005106AD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</w:p>
    <w:p w:rsidR="006C113A" w:rsidRDefault="005106AD" w:rsidP="005106AD">
      <w:pPr>
        <w:ind w:firstLine="720"/>
        <w:jc w:val="both"/>
        <w:rPr>
          <w:rFonts w:ascii="Times New Roman" w:hAnsi="Times New Roman"/>
          <w:sz w:val="24"/>
          <w:szCs w:val="24"/>
          <w:lang/>
        </w:rPr>
      </w:pPr>
      <w:r w:rsidRPr="005106AD">
        <w:rPr>
          <w:rFonts w:ascii="Times New Roman" w:hAnsi="Times New Roman"/>
          <w:sz w:val="24"/>
          <w:szCs w:val="24"/>
          <w:lang/>
        </w:rPr>
        <w:t>Grafički prikaz ispunjenosti:</w:t>
      </w:r>
    </w:p>
    <w:p w:rsidR="00186BC1" w:rsidRDefault="00186BC1" w:rsidP="00747D93">
      <w:pPr>
        <w:rPr>
          <w:rFonts w:ascii="Times New Roman" w:hAnsi="Times New Roman"/>
          <w:sz w:val="24"/>
          <w:szCs w:val="24"/>
          <w:lang/>
        </w:rPr>
      </w:pPr>
    </w:p>
    <w:p w:rsidR="00186BC1" w:rsidRDefault="00797FCD" w:rsidP="00747D93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:</w:t>
      </w:r>
    </w:p>
    <w:p w:rsidR="00797FCD" w:rsidRDefault="00797FCD" w:rsidP="00747D93">
      <w:pPr>
        <w:rPr>
          <w:rFonts w:ascii="Times New Roman" w:hAnsi="Times New Roman"/>
          <w:sz w:val="24"/>
          <w:szCs w:val="24"/>
          <w:lang/>
        </w:rPr>
      </w:pPr>
    </w:p>
    <w:p w:rsidR="00186BC1" w:rsidRDefault="00216314" w:rsidP="00186BC1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10075" cy="1905000"/>
            <wp:effectExtent l="0" t="0" r="9525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E0D7A" w:rsidRDefault="00DE0D7A" w:rsidP="006B7D0E">
      <w:pPr>
        <w:jc w:val="both"/>
        <w:rPr>
          <w:rFonts w:ascii="Times New Roman" w:hAnsi="Times New Roman"/>
          <w:sz w:val="24"/>
          <w:szCs w:val="24"/>
          <w:lang/>
        </w:rPr>
      </w:pPr>
    </w:p>
    <w:p w:rsidR="006B7D0E" w:rsidRDefault="008B0CA6" w:rsidP="001F2C48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10075" cy="2495550"/>
            <wp:effectExtent l="0" t="0" r="9525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B1B20" w:rsidRDefault="006B1B20" w:rsidP="001F2C48">
      <w:pPr>
        <w:rPr>
          <w:rFonts w:ascii="Times New Roman" w:hAnsi="Times New Roman"/>
          <w:sz w:val="24"/>
          <w:szCs w:val="24"/>
          <w:lang/>
        </w:rPr>
      </w:pPr>
    </w:p>
    <w:p w:rsidR="006B1B20" w:rsidRDefault="006B1B20" w:rsidP="001F2C48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828925" cy="2085975"/>
            <wp:effectExtent l="0" t="0" r="9525" b="952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06676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52725" cy="2076450"/>
            <wp:effectExtent l="0" t="0" r="9525" b="190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2D56" w:rsidRDefault="00E14563" w:rsidP="00863A6A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048125" cy="21812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092D56" w:rsidSect="00B75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E4796"/>
    <w:multiLevelType w:val="hybridMultilevel"/>
    <w:tmpl w:val="475E659A"/>
    <w:lvl w:ilvl="0" w:tplc="EA346D5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5A1AE9"/>
    <w:multiLevelType w:val="hybridMultilevel"/>
    <w:tmpl w:val="1A2A3A74"/>
    <w:lvl w:ilvl="0" w:tplc="E2CC43D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F228E"/>
    <w:multiLevelType w:val="hybridMultilevel"/>
    <w:tmpl w:val="FE443CFE"/>
    <w:lvl w:ilvl="0" w:tplc="8D5A4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3891"/>
    <w:rsid w:val="00020A39"/>
    <w:rsid w:val="000403A7"/>
    <w:rsid w:val="00066760"/>
    <w:rsid w:val="00074A6E"/>
    <w:rsid w:val="00092D56"/>
    <w:rsid w:val="000C53BE"/>
    <w:rsid w:val="000C5A49"/>
    <w:rsid w:val="00120041"/>
    <w:rsid w:val="00152CC7"/>
    <w:rsid w:val="00176C2B"/>
    <w:rsid w:val="00186BC1"/>
    <w:rsid w:val="001D25E3"/>
    <w:rsid w:val="001E4DDF"/>
    <w:rsid w:val="001F2C48"/>
    <w:rsid w:val="00216314"/>
    <w:rsid w:val="00272051"/>
    <w:rsid w:val="002A68C2"/>
    <w:rsid w:val="002D1817"/>
    <w:rsid w:val="002E6A0E"/>
    <w:rsid w:val="002E796F"/>
    <w:rsid w:val="00321152"/>
    <w:rsid w:val="00347A88"/>
    <w:rsid w:val="003C3269"/>
    <w:rsid w:val="003C3C9D"/>
    <w:rsid w:val="003E7DD0"/>
    <w:rsid w:val="003F1614"/>
    <w:rsid w:val="003F5D9B"/>
    <w:rsid w:val="00423B7A"/>
    <w:rsid w:val="004262A8"/>
    <w:rsid w:val="004342EF"/>
    <w:rsid w:val="00447ABB"/>
    <w:rsid w:val="00453891"/>
    <w:rsid w:val="00465961"/>
    <w:rsid w:val="00465BAC"/>
    <w:rsid w:val="004813B7"/>
    <w:rsid w:val="0049172A"/>
    <w:rsid w:val="004E38C3"/>
    <w:rsid w:val="00507A27"/>
    <w:rsid w:val="00507D2A"/>
    <w:rsid w:val="005106AD"/>
    <w:rsid w:val="005677E3"/>
    <w:rsid w:val="005D6CE8"/>
    <w:rsid w:val="00612538"/>
    <w:rsid w:val="006164E8"/>
    <w:rsid w:val="0063089C"/>
    <w:rsid w:val="006725F9"/>
    <w:rsid w:val="006B1B20"/>
    <w:rsid w:val="006B7D0E"/>
    <w:rsid w:val="006C113A"/>
    <w:rsid w:val="006D0415"/>
    <w:rsid w:val="006E480A"/>
    <w:rsid w:val="006F7CA3"/>
    <w:rsid w:val="00742107"/>
    <w:rsid w:val="00747D93"/>
    <w:rsid w:val="00753610"/>
    <w:rsid w:val="00781C4B"/>
    <w:rsid w:val="00793E06"/>
    <w:rsid w:val="00797FCD"/>
    <w:rsid w:val="007A01F6"/>
    <w:rsid w:val="007C2B28"/>
    <w:rsid w:val="007C5FCD"/>
    <w:rsid w:val="007D12F0"/>
    <w:rsid w:val="00813808"/>
    <w:rsid w:val="00823AA1"/>
    <w:rsid w:val="00825C97"/>
    <w:rsid w:val="008560B3"/>
    <w:rsid w:val="00863A6A"/>
    <w:rsid w:val="008B0CA6"/>
    <w:rsid w:val="008C56E3"/>
    <w:rsid w:val="00990A9C"/>
    <w:rsid w:val="009B4A46"/>
    <w:rsid w:val="00A30158"/>
    <w:rsid w:val="00A46C88"/>
    <w:rsid w:val="00A6577D"/>
    <w:rsid w:val="00A7413B"/>
    <w:rsid w:val="00AC2F1C"/>
    <w:rsid w:val="00AF7EF8"/>
    <w:rsid w:val="00B37CB0"/>
    <w:rsid w:val="00B54D13"/>
    <w:rsid w:val="00B666E7"/>
    <w:rsid w:val="00B74D0B"/>
    <w:rsid w:val="00B7536E"/>
    <w:rsid w:val="00B84114"/>
    <w:rsid w:val="00B91CD9"/>
    <w:rsid w:val="00C00412"/>
    <w:rsid w:val="00C53D9A"/>
    <w:rsid w:val="00CF221C"/>
    <w:rsid w:val="00CF5CA7"/>
    <w:rsid w:val="00DB5C41"/>
    <w:rsid w:val="00DE0D7A"/>
    <w:rsid w:val="00DE19C8"/>
    <w:rsid w:val="00E14563"/>
    <w:rsid w:val="00E15133"/>
    <w:rsid w:val="00E428AC"/>
    <w:rsid w:val="00E45323"/>
    <w:rsid w:val="00E548B0"/>
    <w:rsid w:val="00E7212A"/>
    <w:rsid w:val="00E811B8"/>
    <w:rsid w:val="00E94DC8"/>
    <w:rsid w:val="00EA6C45"/>
    <w:rsid w:val="00EC57EA"/>
    <w:rsid w:val="00ED05CA"/>
    <w:rsid w:val="00EE0CFC"/>
    <w:rsid w:val="00F03C5A"/>
    <w:rsid w:val="00F10065"/>
    <w:rsid w:val="00F25F59"/>
    <w:rsid w:val="00F36637"/>
    <w:rsid w:val="00F4105D"/>
    <w:rsid w:val="00F83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9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1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C113A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9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1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C113A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9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hart" Target="charts/chart5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Office_Excel_Worksheet1.xlsx"/><Relationship Id="rId1" Type="http://schemas.openxmlformats.org/officeDocument/2006/relationships/image" Target="../media/image2.jpe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НАЧИН</a:t>
            </a:r>
            <a:r>
              <a:rPr lang="sr-Cyrl-RS" baseline="0"/>
              <a:t> ПОДНОШЕЊА ЗАХТЕВА</a:t>
            </a:r>
            <a:endParaRPr lang="en-US"/>
          </a:p>
        </c:rich>
      </c:tx>
    </c:title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Pt>
            <c:idx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Lbls>
            <c:dLbl>
              <c:idx val="0"/>
              <c:showVal val="1"/>
            </c:dLbl>
            <c:delete val="1"/>
          </c:dLbls>
          <c:cat>
            <c:strRef>
              <c:f>Sheet1!$A$2:$A$3</c:f>
              <c:strCache>
                <c:ptCount val="2"/>
                <c:pt idx="0">
                  <c:v>преко овлашћеног бироа 98%</c:v>
                </c:pt>
                <c:pt idx="1">
                  <c:v>самостално 2%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98</c:v>
                </c:pt>
                <c:pt idx="1">
                  <c:v>2</c:v>
                </c:pt>
              </c:numCache>
            </c:numRef>
          </c:val>
        </c:ser>
        <c:firstSliceAng val="0"/>
        <c:holeSize val="50"/>
      </c:doughnutChart>
    </c:plotArea>
    <c:legend>
      <c:legendPos val="r"/>
      <c:spPr>
        <a:noFill/>
      </c:spPr>
    </c:legend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Недоумице око градње</a:t>
            </a:r>
            <a:r>
              <a:rPr lang="sr-Cyrl-RS" baseline="0"/>
              <a:t> проверавате</a:t>
            </a:r>
            <a:endParaRPr lang="en-US"/>
          </a:p>
        </c:rich>
      </c:tx>
    </c:title>
    <c:plotArea>
      <c:layout>
        <c:manualLayout>
          <c:layoutTarget val="inner"/>
          <c:xMode val="edge"/>
          <c:yMode val="edge"/>
          <c:x val="0.11085721055701368"/>
          <c:y val="0.16656761654793156"/>
          <c:w val="0.46070592738407712"/>
          <c:h val="0.78978158980127466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Lbls>
            <c:dLbl>
              <c:idx val="0"/>
              <c:showVal val="1"/>
            </c:dLbl>
            <c:dLbl>
              <c:idx val="1"/>
              <c:showVal val="1"/>
            </c:dLbl>
            <c:delete val="1"/>
          </c:dLbls>
          <c:cat>
            <c:strRef>
              <c:f>Sheet1!$A$2:$A$5</c:f>
              <c:strCache>
                <c:ptCount val="3"/>
                <c:pt idx="0">
                  <c:v>путем пројектног бироа 61%</c:v>
                </c:pt>
                <c:pt idx="1">
                  <c:v>на сајту обједињене процедуре 32%</c:v>
                </c:pt>
                <c:pt idx="2">
                  <c:v>лично, на шалтеру 7%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3"/>
                <c:pt idx="0">
                  <c:v>61</c:v>
                </c:pt>
                <c:pt idx="1">
                  <c:v>32</c:v>
                </c:pt>
                <c:pt idx="2">
                  <c:v>7</c:v>
                </c:pt>
              </c:numCache>
            </c:numRef>
          </c:val>
        </c:ser>
        <c:firstSliceAng val="0"/>
        <c:holeSize val="50"/>
      </c:doughnutChart>
    </c:plotArea>
    <c:legend>
      <c:legendPos val="r"/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Јединствени тарифник</a:t>
            </a:r>
            <a:endParaRPr lang="en-US"/>
          </a:p>
        </c:rich>
      </c:tx>
    </c:title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explosion val="25"/>
          <c:dLbls>
            <c:showVal val="1"/>
            <c:showLeaderLines val="1"/>
          </c:dLbls>
          <c:cat>
            <c:strRef>
              <c:f>Sheet1!$A$2:$A$5</c:f>
              <c:strCache>
                <c:ptCount val="1"/>
                <c:pt idx="0">
                  <c:v>да, користим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firstSliceAng val="0"/>
        <c:holeSize val="50"/>
      </c:doughnutChart>
    </c:plotArea>
    <c:legend>
      <c:legendPos val="r"/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Објављивање</a:t>
            </a:r>
            <a:r>
              <a:rPr lang="sr-Cyrl-RS" baseline="0"/>
              <a:t> на сајту</a:t>
            </a:r>
            <a:endParaRPr lang="en-US"/>
          </a:p>
        </c:rich>
      </c:tx>
    </c:title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cat>
            <c:strRef>
              <c:f>Sheet1!$A$2:$A$5</c:f>
              <c:strCache>
                <c:ptCount val="2"/>
                <c:pt idx="0">
                  <c:v>Да, пратим објаве 58%</c:v>
                </c:pt>
                <c:pt idx="1">
                  <c:v>Не 42%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2"/>
                <c:pt idx="0">
                  <c:v>58</c:v>
                </c:pt>
                <c:pt idx="1">
                  <c:v>42</c:v>
                </c:pt>
              </c:numCache>
            </c:numRef>
          </c:val>
        </c:ser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71379653015071254"/>
          <c:y val="0.22572371114161188"/>
          <c:w val="0.26943198137968627"/>
          <c:h val="0.73800187820559182"/>
        </c:manualLayout>
      </c:layout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Примена ГИС-а приликом претраге података</c:v>
                </c:pt>
              </c:strCache>
            </c:strRef>
          </c:tx>
          <c:explosion val="25"/>
          <c:cat>
            <c:strRef>
              <c:f>Sheet1!$A$2:$A$5</c:f>
              <c:strCache>
                <c:ptCount val="3"/>
                <c:pt idx="0">
                  <c:v>Да 73%</c:v>
                </c:pt>
                <c:pt idx="1">
                  <c:v>Не 6%</c:v>
                </c:pt>
                <c:pt idx="2">
                  <c:v>Вероватно 21%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3"/>
                <c:pt idx="0">
                  <c:v>73</c:v>
                </c:pt>
                <c:pt idx="1">
                  <c:v>6</c:v>
                </c:pt>
                <c:pt idx="2">
                  <c:v>21</c:v>
                </c:pt>
              </c:numCache>
            </c:numRef>
          </c:val>
        </c:ser>
        <c:firstSliceAng val="0"/>
        <c:holeSize val="50"/>
      </c:doughnut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F142C-E074-432A-8DB3-5B30C2E7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2290</TotalTime>
  <Pages>5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Brankica</cp:lastModifiedBy>
  <cp:revision>62</cp:revision>
  <cp:lastPrinted>2019-02-28T09:57:00Z</cp:lastPrinted>
  <dcterms:created xsi:type="dcterms:W3CDTF">2017-12-26T08:11:00Z</dcterms:created>
  <dcterms:modified xsi:type="dcterms:W3CDTF">2019-08-23T12:09:00Z</dcterms:modified>
</cp:coreProperties>
</file>