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F687A" w14:textId="77777777" w:rsidR="00BA1F61" w:rsidRPr="00C017CC" w:rsidRDefault="00BA1F61" w:rsidP="00F86C8D">
      <w:pPr>
        <w:spacing w:after="0" w:line="240" w:lineRule="auto"/>
        <w:ind w:right="458" w:firstLine="710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</w:pPr>
      <w:bookmarkStart w:id="0" w:name="_GoBack"/>
      <w:bookmarkEnd w:id="0"/>
    </w:p>
    <w:p w14:paraId="53DC5447" w14:textId="2CE4309C" w:rsidR="004218FB" w:rsidRPr="00C017CC" w:rsidRDefault="001E0D63" w:rsidP="00DB4AB3">
      <w:pPr>
        <w:spacing w:after="0" w:line="240" w:lineRule="auto"/>
        <w:ind w:right="458" w:firstLine="710"/>
        <w:jc w:val="right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  <w:t xml:space="preserve"> </w:t>
      </w:r>
      <w:r w:rsidR="00311C5C" w:rsidRPr="00C017C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  <w:t xml:space="preserve"> </w:t>
      </w:r>
      <w:r w:rsidR="004218FB" w:rsidRPr="00C017C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  <w:tab/>
      </w:r>
      <w:r w:rsidR="004218FB" w:rsidRPr="00C017C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  <w:tab/>
      </w:r>
      <w:r w:rsidR="004218FB" w:rsidRPr="00C017C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  <w:tab/>
      </w:r>
      <w:r w:rsidR="004218FB" w:rsidRPr="00C017CC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  <w:tab/>
      </w:r>
    </w:p>
    <w:p w14:paraId="5B98DB88" w14:textId="10A3EC53" w:rsidR="00DB4AB3" w:rsidRPr="00C017CC" w:rsidRDefault="00DB4AB3" w:rsidP="00DB4AB3">
      <w:pPr>
        <w:spacing w:after="0" w:line="240" w:lineRule="auto"/>
        <w:ind w:right="458" w:firstLine="710"/>
        <w:jc w:val="right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</w:pPr>
    </w:p>
    <w:p w14:paraId="087C0709" w14:textId="77777777" w:rsidR="00B532F9" w:rsidRPr="00C017CC" w:rsidRDefault="00B532F9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  <w:t xml:space="preserve">ПрЕДЛОГ </w:t>
      </w:r>
      <w:r w:rsidR="001E0D63" w:rsidRPr="00C017CC"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  <w:t>Закон</w:t>
      </w:r>
      <w:r w:rsidRPr="00C017CC"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  <w:t>А</w:t>
      </w:r>
    </w:p>
    <w:p w14:paraId="3BDEED6C" w14:textId="0FAA0484" w:rsidR="00F47AAE" w:rsidRPr="00C017CC" w:rsidRDefault="001E0D63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  <w:t xml:space="preserve"> о </w:t>
      </w:r>
      <w:r w:rsidR="00311C5C" w:rsidRPr="00C017CC"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  <w:t>утврђивању финансијске подршке привредним субјектима за одржавање ликвидности и обртна</w:t>
      </w:r>
      <w:r w:rsidR="00F47AAE" w:rsidRPr="00C017CC"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  <w:t xml:space="preserve"> </w:t>
      </w:r>
      <w:r w:rsidR="00311C5C" w:rsidRPr="00C017CC"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  <w:t>средства</w:t>
      </w:r>
    </w:p>
    <w:p w14:paraId="1291C0A1" w14:textId="0D50DC2A" w:rsidR="008B5B95" w:rsidRPr="00C017CC" w:rsidRDefault="00311C5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caps/>
          <w:noProof/>
          <w:color w:val="000000" w:themeColor="text1"/>
          <w:sz w:val="24"/>
          <w:szCs w:val="24"/>
          <w:lang w:val="sr-Cyrl-CS"/>
        </w:rPr>
        <w:t>у отежаним економским условима услед пандемије COVID-19 изазване вирусом SARS-CоV-2</w:t>
      </w:r>
    </w:p>
    <w:p w14:paraId="5BB3229E" w14:textId="3DEF07D9" w:rsidR="00DB4AB3" w:rsidRPr="00C017CC" w:rsidRDefault="00DB4AB3" w:rsidP="00223DE5">
      <w:pPr>
        <w:spacing w:after="0" w:line="240" w:lineRule="auto"/>
        <w:ind w:right="458" w:firstLine="0"/>
        <w:rPr>
          <w:rFonts w:ascii="Times New Roman" w:hAnsi="Times New Roman" w:cs="Times New Roman"/>
          <w:caps/>
          <w:strike/>
          <w:noProof/>
          <w:color w:val="000000" w:themeColor="text1"/>
          <w:sz w:val="24"/>
          <w:szCs w:val="24"/>
          <w:lang w:val="sr-Cyrl-CS"/>
        </w:rPr>
      </w:pPr>
    </w:p>
    <w:p w14:paraId="6AB84FEB" w14:textId="77777777" w:rsidR="00F47AAE" w:rsidRPr="00C017CC" w:rsidRDefault="00F47AAE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9933879" w14:textId="026CAD9D" w:rsidR="001E0D63" w:rsidRPr="00C017CC" w:rsidRDefault="001E0D63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B532F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УВОДНЕ ОДРЕДБЕ</w:t>
      </w:r>
    </w:p>
    <w:p w14:paraId="75CB2F6C" w14:textId="77777777" w:rsidR="005C6DEE" w:rsidRPr="00C017CC" w:rsidRDefault="005C6DEE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EBF86B3" w14:textId="77777777" w:rsidR="001E0D63" w:rsidRPr="00C017CC" w:rsidRDefault="001E0D63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Предмет уређивања</w:t>
      </w:r>
    </w:p>
    <w:p w14:paraId="711EB67C" w14:textId="77777777" w:rsidR="005C6DEE" w:rsidRPr="00C017CC" w:rsidRDefault="005C6DEE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6D4434BC" w14:textId="1FA3832F" w:rsidR="00223807" w:rsidRDefault="00311C5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Члан 1</w:t>
      </w:r>
      <w:r w:rsid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36F92A22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</w:p>
    <w:p w14:paraId="062C67B9" w14:textId="557E022E" w:rsidR="003132D2" w:rsidRPr="00C017CC" w:rsidRDefault="001E0D63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Овим законом </w:t>
      </w:r>
      <w:r w:rsidR="0022380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се, у циљу очувања стабилности финансијског и привредног система Републике Србије </w:t>
      </w:r>
      <w:r w:rsidR="00977EF5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условима потенцијалних ризика због опасности од ширења заразне болести COVID-19 изазване вирусом SARS-CоV-2,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уређуј</w:t>
      </w:r>
      <w:r w:rsidR="0001076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е </w:t>
      </w:r>
      <w:r w:rsidR="003132D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додела кредитних средстава привредним субјектима </w:t>
      </w:r>
      <w:r w:rsidR="0022380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који су Фонду за развој Ре</w:t>
      </w:r>
      <w:r w:rsidR="00D6313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публике Србије (у даљем тексту: </w:t>
      </w:r>
      <w:r w:rsidR="0022380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Фонд)</w:t>
      </w:r>
      <w:r w:rsidR="008E118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22380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поднели захтеве за кредит до 10. децембра 2020. године у складу са </w:t>
      </w:r>
      <w:r w:rsidR="00223807"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Уредбом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</w:t>
      </w:r>
      <w:r w:rsidR="0022380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COVID-19 изазване вирусом SARS-CоV-2 (</w:t>
      </w:r>
      <w:r w:rsidR="001A35F1"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„Службени </w:t>
      </w:r>
      <w:r w:rsidR="00223807"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гласник РС”, </w:t>
      </w:r>
      <w:r w:rsidR="00223807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>бр. 54/</w:t>
      </w:r>
      <w:r w:rsidR="00E12C33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20, </w:t>
      </w:r>
      <w:r w:rsidR="00223807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>57/20</w:t>
      </w:r>
      <w:r w:rsidR="00E12C33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65/20</w:t>
      </w:r>
      <w:r w:rsidR="000B3B1A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E12C33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="000B3B1A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E12C33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>др.</w:t>
      </w:r>
      <w:r w:rsidR="008E118E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E12C33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D242A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22380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 даљем тексту: Уредба)</w:t>
      </w:r>
      <w:r w:rsidR="003132D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корисници и намена средстава, услови коришћења средстава, </w:t>
      </w:r>
      <w:r w:rsidR="003132D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финансијски оквир и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начин реализације и праћење реализације финансијске подршке привредним субјектима</w:t>
      </w:r>
      <w:r w:rsidR="003132D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360E7CDC" w14:textId="197E6C07" w:rsidR="00906765" w:rsidRPr="00C017CC" w:rsidRDefault="00906765" w:rsidP="001A35F1">
      <w:pPr>
        <w:spacing w:after="0" w:line="240" w:lineRule="auto"/>
        <w:ind w:right="458" w:firstLine="0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</w:p>
    <w:p w14:paraId="589BCE5D" w14:textId="71811376" w:rsidR="008B5B95" w:rsidRPr="00C017CC" w:rsidRDefault="00B37B68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II</w:t>
      </w:r>
      <w:r w:rsidR="00B532F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КОРИСНИЦИ И НАМЕНА СРЕДСТАВА</w:t>
      </w:r>
    </w:p>
    <w:p w14:paraId="1927E67C" w14:textId="77777777" w:rsidR="003132D2" w:rsidRPr="00C017CC" w:rsidRDefault="003132D2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5A9DD97A" w14:textId="7B044866" w:rsidR="003132D2" w:rsidRDefault="003132D2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  <w:r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37B68" w:rsidRPr="00C017C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C017C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E5A66D7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</w:p>
    <w:p w14:paraId="2B0E68BB" w14:textId="2478B004" w:rsidR="002815B5" w:rsidRPr="00C017CC" w:rsidRDefault="00311C5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Право на коришћење средстава </w:t>
      </w:r>
      <w:r w:rsidR="00B37B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основу овог закона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имају предузетници, задруге, микро, мал</w:t>
      </w:r>
      <w:r w:rsidR="005940C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средњ</w:t>
      </w:r>
      <w:r w:rsidR="005940C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привредн</w:t>
      </w:r>
      <w:r w:rsidR="005940C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940C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субјекти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кој</w:t>
      </w:r>
      <w:r w:rsidR="005940C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су у већинском приватном или задружном власништву и кој</w:t>
      </w:r>
      <w:r w:rsidR="005940C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обављају производну, услужну, трговинску и пољопривредну делатност</w:t>
      </w:r>
      <w:r w:rsidR="00875DB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AC69AD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који су Фонду поднели захтеве за кредит до 10. децембра 2020. године</w:t>
      </w:r>
      <w:r w:rsidR="001B03E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складу са </w:t>
      </w:r>
      <w:r w:rsidR="001B03E7" w:rsidRPr="00C017CC">
        <w:rPr>
          <w:rFonts w:ascii="Times New Roman" w:hAnsi="Times New Roman" w:cs="Times New Roman"/>
          <w:sz w:val="24"/>
          <w:szCs w:val="24"/>
          <w:lang w:val="sr-Cyrl-CS"/>
        </w:rPr>
        <w:t>Уредбом</w:t>
      </w:r>
      <w:r w:rsidR="00B37B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 а о којима до дана ступања на снагу овог закона није одлучено.</w:t>
      </w:r>
    </w:p>
    <w:p w14:paraId="43F0B496" w14:textId="6F00D9E8" w:rsidR="00C42081" w:rsidRPr="00C017CC" w:rsidRDefault="002815B5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Средства се могу користити за набавку обртних средста</w:t>
      </w:r>
      <w:r w:rsidR="00013CF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ва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одржавање текуће ликвидности привредних субјеката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у циљу редовног измиривања обавеза према пословним партнерима, запосленима и држави</w:t>
      </w:r>
      <w:r w:rsidR="00C42081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.</w:t>
      </w:r>
    </w:p>
    <w:p w14:paraId="15223597" w14:textId="3EC921C3" w:rsidR="00D86F91" w:rsidRPr="00C017CC" w:rsidRDefault="00311C5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Средства </w:t>
      </w:r>
      <w:r w:rsidR="003132D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не могу користити за:</w:t>
      </w:r>
    </w:p>
    <w:p w14:paraId="5A14C04E" w14:textId="111E1CC4" w:rsidR="00D86F91" w:rsidRPr="00C017CC" w:rsidRDefault="00311C5C" w:rsidP="00597489">
      <w:pPr>
        <w:pStyle w:val="ListParagraph"/>
        <w:numPr>
          <w:ilvl w:val="0"/>
          <w:numId w:val="10"/>
        </w:numPr>
        <w:tabs>
          <w:tab w:val="left" w:pos="99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организовање игара на срећу, лутрије и сл. делатности;</w:t>
      </w:r>
    </w:p>
    <w:p w14:paraId="2B0B6512" w14:textId="77777777" w:rsidR="00FF6664" w:rsidRPr="00C017CC" w:rsidRDefault="00311C5C" w:rsidP="00597489">
      <w:pPr>
        <w:pStyle w:val="ListParagraph"/>
        <w:numPr>
          <w:ilvl w:val="0"/>
          <w:numId w:val="10"/>
        </w:numPr>
        <w:tabs>
          <w:tab w:val="left" w:pos="99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п</w:t>
      </w:r>
      <w:r w:rsidR="00D86F9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ромет нафте и нафтних дериватa; </w:t>
      </w:r>
    </w:p>
    <w:p w14:paraId="3D353C60" w14:textId="74EC969A" w:rsidR="007456DD" w:rsidRPr="00C017CC" w:rsidRDefault="00B15B98" w:rsidP="00597489">
      <w:pPr>
        <w:pStyle w:val="ListParagraph"/>
        <w:numPr>
          <w:ilvl w:val="0"/>
          <w:numId w:val="10"/>
        </w:numPr>
        <w:tabs>
          <w:tab w:val="left" w:pos="99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производњу и промет </w:t>
      </w:r>
      <w:r w:rsidR="00D86F9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производа или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 </w:t>
      </w:r>
      <w:r w:rsidR="00D86F9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активности, које с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D86F9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37B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 складу са прописима Републике Србије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B37B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86F9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међународним споразумима </w:t>
      </w:r>
      <w:r w:rsidR="00B37B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који се примењују у Републици Србији </w:t>
      </w:r>
      <w:r w:rsidR="00D86F9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или</w:t>
      </w:r>
      <w:r w:rsidR="00F86F6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0635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правилима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Ев</w:t>
      </w:r>
      <w:r w:rsidR="00D86F91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ропске инвестиционе банке </w:t>
      </w:r>
      <w:r w:rsidR="00A042F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(у даљем тексту: ЕИБ), </w:t>
      </w:r>
      <w:r w:rsidR="00B37B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забрањене</w:t>
      </w:r>
      <w:r w:rsidR="007456DD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1F5EDF1D" w14:textId="483F7D22" w:rsidR="007456DD" w:rsidRPr="00C017CC" w:rsidRDefault="007456DD" w:rsidP="001A35F1">
      <w:pPr>
        <w:spacing w:after="0" w:line="240" w:lineRule="auto"/>
        <w:ind w:right="458" w:firstLine="0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27959282" w14:textId="03C493D5" w:rsidR="008B5B95" w:rsidRPr="00C017CC" w:rsidRDefault="00311C5C" w:rsidP="001A35F1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B37B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II</w:t>
      </w:r>
      <w:r w:rsidR="00B532F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УСЛОВИ КОРИШЋЕЊА СРЕДСТАВА</w:t>
      </w:r>
    </w:p>
    <w:p w14:paraId="24D63E66" w14:textId="2CA2B798" w:rsidR="00E17D88" w:rsidRPr="00C017CC" w:rsidRDefault="00E17D88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z w:val="18"/>
          <w:szCs w:val="18"/>
          <w:lang w:val="sr-Cyrl-CS"/>
        </w:rPr>
      </w:pPr>
    </w:p>
    <w:p w14:paraId="15B3D225" w14:textId="01B0D228" w:rsidR="00E17D88" w:rsidRDefault="00E17D88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B37B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3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777AE90C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</w:p>
    <w:p w14:paraId="5C09FCBF" w14:textId="5E6E7860" w:rsidR="00D86F91" w:rsidRPr="00C017CC" w:rsidRDefault="001A7CFB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Услов који мора да испуни подносилац</w:t>
      </w:r>
      <w:r w:rsidR="007B160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захтева </w:t>
      </w:r>
      <w:r w:rsidR="00B37B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 кредит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је да није</w:t>
      </w:r>
      <w:r w:rsidR="007B160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 тешкоћама, односно да над њим</w:t>
      </w:r>
      <w:r w:rsidR="007B160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није покренут с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течајни поступак, да се над њим</w:t>
      </w:r>
      <w:r w:rsidR="007B160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не спроводи поступак за унапред припремљени план реорганизације </w:t>
      </w:r>
      <w:r w:rsidR="00ED234B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(</w:t>
      </w:r>
      <w:r w:rsidR="000E3AD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даљем тексту: </w:t>
      </w:r>
      <w:r w:rsidR="00ED234B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УППР) </w:t>
      </w:r>
      <w:r w:rsidR="007B160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или да </w:t>
      </w:r>
      <w:r w:rsidR="000E3AD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на снази нису мере из УППР</w:t>
      </w:r>
      <w:r w:rsidR="007B160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 да се над њим не спроводи план реорганизације или да на снази нису мере из плана реорганизације, финансијско реструктурирање или поступак ликвидације.</w:t>
      </w:r>
    </w:p>
    <w:p w14:paraId="4F0CEB44" w14:textId="45D244D3" w:rsidR="008B5CF9" w:rsidRPr="00C017CC" w:rsidRDefault="008B5CF9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EA725D3" w14:textId="77777777" w:rsidR="000D16E0" w:rsidRPr="00C017CC" w:rsidRDefault="000D16E0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BD7E5BF" w14:textId="77777777" w:rsidR="008B5CF9" w:rsidRPr="00C017CC" w:rsidRDefault="008B5CF9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7AD8FB7" w14:textId="0288FD70" w:rsidR="008B5B95" w:rsidRPr="00C017CC" w:rsidRDefault="00590579" w:rsidP="00DB4AB3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По захтевима поднетим у 2020. години, к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редит се може одобрити и ако је у званичним финансијским извештајима привредног субјекта</w:t>
      </w:r>
      <w:r w:rsidR="00C83F8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 w:rsidR="00E17D8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 </w:t>
      </w:r>
      <w:r w:rsidR="00C83F8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2018. или 2019. годину)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 исказан нето губитак</w:t>
      </w:r>
      <w:r w:rsidR="00C73A7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али је остварен пословни добитак.</w:t>
      </w:r>
      <w:r w:rsidR="00B0388F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D234B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Овај услов </w:t>
      </w:r>
      <w:r w:rsidR="00B0388F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не примењује се на предузетнике који немају обавезу подношења фи</w:t>
      </w:r>
      <w:r w:rsidR="00145D0D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нансијских </w:t>
      </w:r>
      <w:r w:rsidR="00B0388F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извештаја. </w:t>
      </w:r>
    </w:p>
    <w:p w14:paraId="1AC6B554" w14:textId="77777777" w:rsidR="00D73F20" w:rsidRPr="00C017CC" w:rsidRDefault="00D73F20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4271016" w14:textId="49A4AED1" w:rsidR="00D73F20" w:rsidRDefault="00D73F20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Члан 4</w:t>
      </w:r>
      <w:r w:rsid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4DD35554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</w:p>
    <w:p w14:paraId="39B68F9C" w14:textId="6D535869" w:rsidR="00596098" w:rsidRPr="00C017CC" w:rsidRDefault="00311C5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Кредити за одржавање текуће ликвидности и набав</w:t>
      </w:r>
      <w:r w:rsidR="0010049D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ку обртних средстава, одобравају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под следећим условима:</w:t>
      </w:r>
    </w:p>
    <w:p w14:paraId="50AAA2E0" w14:textId="2012D632" w:rsidR="009908CE" w:rsidRPr="00C017CC" w:rsidRDefault="00311C5C" w:rsidP="001A35F1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рок отплате </w:t>
      </w:r>
      <w:r w:rsidR="0082011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је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до </w:t>
      </w:r>
      <w:r w:rsidR="001A514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48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месеци који укључује грејс период до </w:t>
      </w:r>
      <w:r w:rsidR="006B780C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18</w:t>
      </w:r>
      <w:r w:rsidR="001A514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="002B0A17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месеци -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укупно трајање кредита је до 1</w:t>
      </w:r>
      <w:r w:rsidR="001A514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8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месеци </w:t>
      </w:r>
      <w:r w:rsidR="00ED234B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грејс периода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и до </w:t>
      </w:r>
      <w:r w:rsidR="001A514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30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месец</w:t>
      </w:r>
      <w:r w:rsidR="001A514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и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отплате;</w:t>
      </w:r>
      <w:r w:rsidR="003D7512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</w:p>
    <w:p w14:paraId="1829C6A4" w14:textId="0DBEA1FD" w:rsidR="00994AD8" w:rsidRPr="00C017CC" w:rsidRDefault="00994AD8" w:rsidP="001A35F1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каматна стопа је 1% на годишњем нивоу;</w:t>
      </w:r>
    </w:p>
    <w:p w14:paraId="4F490831" w14:textId="77777777" w:rsidR="008B5B95" w:rsidRPr="00C017CC" w:rsidRDefault="00311C5C" w:rsidP="001A35F1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кредити се одобравају и враћају у динарима;</w:t>
      </w:r>
    </w:p>
    <w:p w14:paraId="6B07584F" w14:textId="29FD6B04" w:rsidR="00D4342E" w:rsidRPr="00C017CC" w:rsidRDefault="00311C5C" w:rsidP="001A35F1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минимални износ кредита за једног корисника кредита за привредна друштва је 1.000.000,00 динара</w:t>
      </w:r>
      <w:r w:rsidR="00D4342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,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а за предузетнике, задруге и привредне субјекте регистроване у </w:t>
      </w:r>
      <w:r w:rsidR="00ED234B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одговарајућем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регистру 200.000,00 динара; </w:t>
      </w:r>
    </w:p>
    <w:p w14:paraId="3FCC251B" w14:textId="39FF6C24" w:rsidR="008B5B95" w:rsidRPr="00C017CC" w:rsidRDefault="00311C5C" w:rsidP="001A35F1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максималан износ кредита за једног корисника кредита може бити:</w:t>
      </w:r>
    </w:p>
    <w:p w14:paraId="35D9F82B" w14:textId="6D2C18BE" w:rsidR="00D86F91" w:rsidRPr="00C017CC" w:rsidRDefault="00311C5C" w:rsidP="001A35F1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за предузетнике и микро п</w:t>
      </w:r>
      <w:r w:rsidR="00D86F91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равна лица до 10.000.000,00 </w:t>
      </w:r>
      <w:r w:rsidR="00ED234B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динара</w:t>
      </w:r>
      <w:r w:rsidR="00250C94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,</w:t>
      </w:r>
    </w:p>
    <w:p w14:paraId="06DA2BC7" w14:textId="58C3057E" w:rsidR="00D86F91" w:rsidRPr="00C017CC" w:rsidRDefault="00311C5C" w:rsidP="001A35F1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за мала правна лица до </w:t>
      </w:r>
      <w:r w:rsidR="008E5277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60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.000.000,00 </w:t>
      </w:r>
      <w:r w:rsidR="00ED234B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динара</w:t>
      </w:r>
      <w:r w:rsidR="00250C94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,</w:t>
      </w:r>
    </w:p>
    <w:p w14:paraId="53F9CAD3" w14:textId="261D8B97" w:rsidR="008B5B95" w:rsidRPr="00C017CC" w:rsidRDefault="00311C5C" w:rsidP="001A35F1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за средња правна лица до </w:t>
      </w:r>
      <w:r w:rsidR="008E5277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1</w:t>
      </w:r>
      <w:r w:rsidR="00CB7F54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0</w:t>
      </w:r>
      <w:r w:rsidR="008E5277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0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.000.000,00 </w:t>
      </w:r>
      <w:r w:rsidR="00ED234B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динара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;</w:t>
      </w:r>
    </w:p>
    <w:p w14:paraId="30E6F10C" w14:textId="17131E67" w:rsidR="008B5B95" w:rsidRPr="00C017CC" w:rsidRDefault="00311C5C" w:rsidP="001A35F1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отплата кредита вршиће се у месечним ануитетима;</w:t>
      </w:r>
    </w:p>
    <w:p w14:paraId="26BA1E85" w14:textId="0CEDFB37" w:rsidR="008B5B95" w:rsidRPr="00C017CC" w:rsidRDefault="00311C5C" w:rsidP="001A35F1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 грејс периоду камата се обрачунава и приписује главном дугу;</w:t>
      </w:r>
    </w:p>
    <w:p w14:paraId="684DA7B3" w14:textId="77777777" w:rsidR="00ED234B" w:rsidRPr="00C017CC" w:rsidRDefault="00695552" w:rsidP="001A35F1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највиши износ одобреног кредита може бити до 50% остварених пословних прихода по предатом финансијском извештају из 2019. године</w:t>
      </w:r>
      <w:r w:rsidR="00994AD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14:paraId="4D31A0E5" w14:textId="06276E80" w:rsidR="008B5B95" w:rsidRPr="00C017CC" w:rsidRDefault="00311C5C" w:rsidP="001A35F1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инструменти обезбеђења уредног враћања кредита су:</w:t>
      </w:r>
    </w:p>
    <w:p w14:paraId="03F63D19" w14:textId="1E4F020F" w:rsidR="008B5B95" w:rsidRPr="00C017CC" w:rsidRDefault="00311C5C" w:rsidP="001A35F1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меница и менично овлашћење јемца/приступиоца дугу (уколико постоји јемство/приступање дугу другог привредног субјекта) и/или</w:t>
      </w:r>
    </w:p>
    <w:p w14:paraId="18929BA3" w14:textId="173EE5D7" w:rsidR="008B5B95" w:rsidRPr="00C017CC" w:rsidRDefault="00311C5C" w:rsidP="001A35F1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хипотека на непокретностима чија је тржишна вредност 1:1 у односу на</w:t>
      </w:r>
      <w:r w:rsidR="006B780C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висину одобреног кредита и/или</w:t>
      </w:r>
    </w:p>
    <w:p w14:paraId="0C67D349" w14:textId="77777777" w:rsidR="006B780C" w:rsidRPr="00C017CC" w:rsidRDefault="00311C5C" w:rsidP="001A35F1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залога на опреми/покретним стварима чија је тржишна вредност 1:1 у односу на</w:t>
      </w:r>
      <w:r w:rsidR="006B780C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висину одобреног кредита и/или</w:t>
      </w:r>
    </w:p>
    <w:p w14:paraId="7CE749A0" w14:textId="6755043F" w:rsidR="006B780C" w:rsidRPr="00C017CC" w:rsidRDefault="00311C5C" w:rsidP="001A35F1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меница и менично овлашћење</w:t>
      </w:r>
      <w:r w:rsidR="006B780C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оснивача/акционара дужника</w:t>
      </w:r>
      <w:r w:rsidR="00D55D0B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.</w:t>
      </w:r>
    </w:p>
    <w:p w14:paraId="48BB4D98" w14:textId="6B5A797E" w:rsidR="008B5B95" w:rsidRPr="00C017CC" w:rsidRDefault="006163A2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еница и менично овлашћење дужник</w:t>
      </w:r>
      <w:r w:rsidR="0075780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 се обавезно достављају уз једно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</w:t>
      </w:r>
      <w:r w:rsidR="00ED234B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средстава обезбеђења </w:t>
      </w:r>
      <w:r w:rsidR="005369F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наведених у ставу 1. тачка 9) </w:t>
      </w:r>
      <w:r w:rsidR="0075780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подтач. (1) - (4) </w:t>
      </w:r>
      <w:r w:rsidR="005369F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овог члана</w:t>
      </w:r>
      <w:r w:rsidR="00ED234B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315A2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6E846677" w14:textId="77777777" w:rsidR="00FF6664" w:rsidRPr="00C017CC" w:rsidRDefault="00311C5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 зависности од износа кредита, корисници кредита достављају следећа средства обезбеђења:</w:t>
      </w:r>
    </w:p>
    <w:p w14:paraId="31AB456F" w14:textId="79E50FFA" w:rsidR="00FF6664" w:rsidRPr="00C017CC" w:rsidRDefault="00FF6664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1)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 износа од 1.000.000,00 динара, средств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обезбеђења су менице корисника кредита и личне менице</w:t>
      </w:r>
      <w:r w:rsidR="0020670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F5069" w:rsidRPr="00C017CC">
        <w:rPr>
          <w:rFonts w:ascii="Times New Roman" w:hAnsi="Times New Roman" w:cs="Times New Roman"/>
          <w:sz w:val="24"/>
          <w:szCs w:val="24"/>
          <w:lang w:val="sr-Cyrl-CS"/>
        </w:rPr>
        <w:t>оснивача са већинским капиталом</w:t>
      </w:r>
      <w:r w:rsidR="00C42081" w:rsidRPr="00C017CC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F5069"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D8E30C7" w14:textId="7F347180" w:rsidR="00FF6664" w:rsidRPr="00C017CC" w:rsidRDefault="00FF6664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2)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 износа од 2.000.000,00 динара, средств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обезбеђења су менице корисника кредита, личне менице </w:t>
      </w:r>
      <w:r w:rsidR="001F5069"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оснивача са већинским капиталом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 јемство физичког лица које ј</w:t>
      </w:r>
      <w:r w:rsidR="00E17D8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е запослено на неодређено време</w:t>
      </w:r>
      <w:r w:rsidR="005D156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код подносиоца захтева за кредит или другог привредног субјекта</w:t>
      </w:r>
      <w:r w:rsidR="00101C6D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  <w:r w:rsidR="00315A2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7972BF5D" w14:textId="7AD8C103" w:rsidR="00E17D88" w:rsidRPr="00C017CC" w:rsidRDefault="00FF6664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3)</w:t>
      </w:r>
      <w:r w:rsidR="00DE5CAF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 износа од 10.000.000,00 динара, средств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обезбеђења су менице корисника кредита, личне менице </w:t>
      </w:r>
      <w:r w:rsidR="001F5069" w:rsidRPr="00C017CC">
        <w:rPr>
          <w:rFonts w:ascii="Times New Roman" w:hAnsi="Times New Roman" w:cs="Times New Roman"/>
          <w:sz w:val="24"/>
          <w:szCs w:val="24"/>
          <w:lang w:val="sr-Cyrl-CS"/>
        </w:rPr>
        <w:t>оснивача са већинским капиталом</w:t>
      </w:r>
      <w:r w:rsidR="00EC032C"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E17D8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јемство повезаног правног лица;</w:t>
      </w:r>
    </w:p>
    <w:p w14:paraId="2FDCFDA0" w14:textId="4C5FB3D6" w:rsidR="00E17D88" w:rsidRPr="00C017CC" w:rsidRDefault="00DE5CAF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4)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 износа од 25.000.000,00 динара, средств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обезбеђења су менице корисника кредита, личне менице </w:t>
      </w:r>
      <w:r w:rsidR="001F506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оснивача са већинским капиталом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 јемство бонитетног привредног субјекта који није повезано правно лице са корисником кредита</w:t>
      </w:r>
      <w:r w:rsidR="00E17D8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14:paraId="133112C3" w14:textId="4384B16B" w:rsidR="00B37B68" w:rsidRPr="00C017CC" w:rsidRDefault="00DE5CAF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5) з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износ </w:t>
      </w:r>
      <w:r w:rsidR="008925F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већи од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25.000.000,00 динара, средств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обезбеђења су менице корисника кредита, залога на опреми у</w:t>
      </w:r>
      <w:r w:rsidR="008925F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својини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корисника кредита или залогодавца и/или хипотека првог реда. </w:t>
      </w:r>
    </w:p>
    <w:p w14:paraId="7509FAD8" w14:textId="381DBD74" w:rsidR="00B37B68" w:rsidRPr="00C017CC" w:rsidRDefault="00B37B68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7F9EE6B" w14:textId="41234B33" w:rsidR="008B5CF9" w:rsidRPr="00C017CC" w:rsidRDefault="008B5CF9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208B1D5" w14:textId="40F5E330" w:rsidR="008B5CF9" w:rsidRPr="00C017CC" w:rsidRDefault="008B5CF9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4197B9C" w14:textId="68DF8BE3" w:rsidR="008B5CF9" w:rsidRPr="00C017CC" w:rsidRDefault="008B5CF9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3066086" w14:textId="77777777" w:rsidR="008B5CF9" w:rsidRPr="00C017CC" w:rsidRDefault="008B5CF9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ACF9837" w14:textId="77777777" w:rsidR="008B5CF9" w:rsidRPr="00C017CC" w:rsidRDefault="008B5CF9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C81DF36" w14:textId="6687C355" w:rsidR="00315A29" w:rsidRDefault="00B37B68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D73F20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5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015D725E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</w:p>
    <w:p w14:paraId="6920C4EC" w14:textId="7FA2ADC5" w:rsidR="000B3B1A" w:rsidRPr="00C017CC" w:rsidRDefault="00EC032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привредне </w:t>
      </w:r>
      <w:r w:rsidR="000203E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субјект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0203E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чија је претежна </w:t>
      </w:r>
      <w:r w:rsidR="008925F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делатност </w:t>
      </w:r>
      <w:r w:rsidR="000203E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из области туризма, угоститељства и путничког саобраћаја </w:t>
      </w:r>
      <w:r w:rsidR="0010276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приликом одобравања кредита </w:t>
      </w:r>
      <w:r w:rsidR="00D9556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примењују</w:t>
      </w:r>
      <w:r w:rsidR="000203E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следећи посебни услови коришћења кредита</w:t>
      </w:r>
      <w:r w:rsidR="00BF35C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0203E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то:</w:t>
      </w:r>
    </w:p>
    <w:p w14:paraId="7A573000" w14:textId="4BC03080" w:rsidR="000B3B1A" w:rsidRPr="00C017CC" w:rsidRDefault="000203EA" w:rsidP="00970AE2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рок отплате </w:t>
      </w:r>
      <w:r w:rsidR="007E688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 пет година који укљу</w:t>
      </w:r>
      <w:r w:rsidR="00DE0E2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чује грејс период до две године -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укупно трајање кредита је до 24 месеца </w:t>
      </w:r>
      <w:r w:rsidR="008925F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грејс периода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 до 36 месеци отплате;</w:t>
      </w:r>
    </w:p>
    <w:p w14:paraId="24C6D452" w14:textId="77777777" w:rsidR="000B3B1A" w:rsidRPr="00C017CC" w:rsidRDefault="000203EA" w:rsidP="00970AE2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каматна стопа је 1% на годишњем нивоу;</w:t>
      </w:r>
    </w:p>
    <w:p w14:paraId="59636BCE" w14:textId="77777777" w:rsidR="005D0B7A" w:rsidRPr="00C017CC" w:rsidRDefault="000203EA" w:rsidP="00970AE2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кредити се одобравају и враћају у динарима;</w:t>
      </w:r>
    </w:p>
    <w:p w14:paraId="4BD94FF4" w14:textId="77777777" w:rsidR="001D4E3A" w:rsidRPr="00C017CC" w:rsidRDefault="005D0B7A" w:rsidP="00970AE2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минимални износ кредита за једног корисника кредита за привредна друштва је 1.000.000,00 динара, а за предузетнике, задруге и привредне субјекте регистроване у одговарајућем регистру 200.000,00 динара</w:t>
      </w:r>
      <w:r w:rsidR="001D4E3A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;</w:t>
      </w:r>
    </w:p>
    <w:p w14:paraId="156F4FDD" w14:textId="6ADD1C81" w:rsidR="000203EA" w:rsidRPr="00C017CC" w:rsidRDefault="005D0B7A" w:rsidP="00970AE2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максималан износ кредита за једног корисника кредита може бити:</w:t>
      </w:r>
    </w:p>
    <w:p w14:paraId="6A579685" w14:textId="488A0961" w:rsidR="000203EA" w:rsidRPr="00C017CC" w:rsidRDefault="000203EA" w:rsidP="00970AE2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за предузетнике и микро правна лица до 1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0.000.000,00 </w:t>
      </w:r>
      <w:r w:rsidR="008925F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динара</w:t>
      </w:r>
      <w:r w:rsidR="002B767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</w:p>
    <w:p w14:paraId="3D364E3B" w14:textId="133A5107" w:rsidR="000203EA" w:rsidRPr="00C017CC" w:rsidRDefault="000203EA" w:rsidP="00970AE2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 мала правна лица до </w:t>
      </w:r>
      <w:r w:rsidR="00CB7F5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0.000.000,00  </w:t>
      </w:r>
      <w:r w:rsidR="002B767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динара,</w:t>
      </w:r>
    </w:p>
    <w:p w14:paraId="6763F849" w14:textId="17F723DA" w:rsidR="000203EA" w:rsidRPr="00C017CC" w:rsidRDefault="000203EA" w:rsidP="00970AE2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за средња правна лица до 1</w:t>
      </w:r>
      <w:r w:rsidR="00B812DF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0.000.000,00 </w:t>
      </w:r>
      <w:r w:rsidR="00FF666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динара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14:paraId="63F6D227" w14:textId="58DB96A6" w:rsidR="000203EA" w:rsidRPr="00C017CC" w:rsidRDefault="000203EA" w:rsidP="00970AE2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највиши износ одобреног кредита може бити до 80% остварених пословних прихода по предатом финансијском извештају</w:t>
      </w:r>
      <w:r w:rsidR="00CB7F5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 2019. године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14:paraId="669112A3" w14:textId="77777777" w:rsidR="004B5D5C" w:rsidRPr="00C017CC" w:rsidRDefault="000203EA" w:rsidP="00970AE2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отплата кредита вршиће се у месечним ануитетима; </w:t>
      </w:r>
    </w:p>
    <w:p w14:paraId="0EE909B9" w14:textId="6684E3B5" w:rsidR="000203EA" w:rsidRPr="00C017CC" w:rsidRDefault="000203EA" w:rsidP="00970AE2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 грејс периоду камата се обрачунава и приписује главном дугу;</w:t>
      </w:r>
    </w:p>
    <w:p w14:paraId="70A3966F" w14:textId="43214333" w:rsidR="000203EA" w:rsidRPr="00C017CC" w:rsidRDefault="000203EA" w:rsidP="000036D7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right="458"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 зависности од износа кредита, корисници кредита достављају следећа</w:t>
      </w:r>
      <w:r w:rsidR="00FE618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средства</w:t>
      </w:r>
      <w:r w:rsidR="003B3C9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обезбеђења:</w:t>
      </w:r>
    </w:p>
    <w:p w14:paraId="4ECF0CBF" w14:textId="30993EE9" w:rsidR="000203EA" w:rsidRPr="00C017CC" w:rsidRDefault="000203EA" w:rsidP="00970AE2">
      <w:pPr>
        <w:pStyle w:val="ListParagraph"/>
        <w:numPr>
          <w:ilvl w:val="0"/>
          <w:numId w:val="18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 износа од 5.000.000,00 динара, средств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обезбеђења су менице корисника кредита и јемство једног или више оснивача или јемство физичког лица које је запослено на 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неодређено време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код подносиоца захтева за кредит </w:t>
      </w:r>
      <w:r w:rsidR="001C07B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или другог привредног субјекта,</w:t>
      </w:r>
    </w:p>
    <w:p w14:paraId="7828CEEE" w14:textId="51986D27" w:rsidR="000203EA" w:rsidRPr="00C017CC" w:rsidRDefault="000203EA" w:rsidP="00970AE2">
      <w:pPr>
        <w:pStyle w:val="ListParagraph"/>
        <w:numPr>
          <w:ilvl w:val="0"/>
          <w:numId w:val="18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 износа од 20.000.000,00 динара, средств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обезбеђења су менице корисника кредита, јемство једног или више оснивача и јемство повезаног правног лица или јемство бонитетног привредног субјекта који није повезано пр</w:t>
      </w:r>
      <w:r w:rsidR="001C07B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авно лице са корисником кредита,</w:t>
      </w:r>
    </w:p>
    <w:p w14:paraId="50976E9B" w14:textId="5E6A5D15" w:rsidR="000203EA" w:rsidRPr="00C017CC" w:rsidRDefault="000203EA" w:rsidP="00970AE2">
      <w:pPr>
        <w:pStyle w:val="ListParagraph"/>
        <w:numPr>
          <w:ilvl w:val="0"/>
          <w:numId w:val="18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 износа од </w:t>
      </w:r>
      <w:r w:rsidR="00CB7F5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0.000.000,00 динара, средств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обезбеђења су менице корисника кредита, јемство једног или више оснивача и јемство бонитетног привредног субјекта који није повезано прав</w:t>
      </w:r>
      <w:r w:rsidR="001C07B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но лице са корисником кредита,</w:t>
      </w:r>
    </w:p>
    <w:p w14:paraId="2FBD4211" w14:textId="7E1B21ED" w:rsidR="000203EA" w:rsidRPr="00C017CC" w:rsidRDefault="000203EA" w:rsidP="00970AE2">
      <w:pPr>
        <w:pStyle w:val="ListParagraph"/>
        <w:numPr>
          <w:ilvl w:val="0"/>
          <w:numId w:val="18"/>
        </w:numPr>
        <w:tabs>
          <w:tab w:val="left" w:pos="1080"/>
        </w:tabs>
        <w:spacing w:after="0"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 износ </w:t>
      </w:r>
      <w:r w:rsidR="008925F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већи од </w:t>
      </w:r>
      <w:r w:rsidR="00CB7F5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0.000.000,00 динара, средств</w:t>
      </w:r>
      <w:r w:rsidR="00EC032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обезбеђења су менице корисника кредита, залога н</w:t>
      </w:r>
      <w:r w:rsidR="003B3C9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 опреми, роби и/или возилима у</w:t>
      </w:r>
      <w:r w:rsidR="008925F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својини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корисника кредита или залогодавца и/или хипотека првог реда. </w:t>
      </w:r>
    </w:p>
    <w:p w14:paraId="668744AA" w14:textId="43493D97" w:rsidR="00102764" w:rsidRPr="00C017CC" w:rsidRDefault="008925F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</w:t>
      </w:r>
      <w:r w:rsidR="0010276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елатности из области туризма, угоститељства и путничког саобраћаја кој</w:t>
      </w:r>
      <w:r w:rsidR="00894AB6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e</w:t>
      </w:r>
      <w:r w:rsidR="0010276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кредитирају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под условима наведеним у ставу 1. овог члана су</w:t>
      </w:r>
      <w:r w:rsidR="000B3B1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73C30839" w14:textId="0E0577C5" w:rsidR="00102764" w:rsidRPr="00C017CC" w:rsidRDefault="00102764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8739" w:type="dxa"/>
        <w:tblInd w:w="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6979"/>
      </w:tblGrid>
      <w:tr w:rsidR="00102764" w:rsidRPr="00C017CC" w14:paraId="78DA7951" w14:textId="77777777" w:rsidTr="00D86F91">
        <w:trPr>
          <w:trHeight w:val="300"/>
        </w:trPr>
        <w:tc>
          <w:tcPr>
            <w:tcW w:w="1760" w:type="dxa"/>
            <w:shd w:val="clear" w:color="auto" w:fill="BDD6EE"/>
            <w:noWrap/>
            <w:vAlign w:val="center"/>
            <w:hideMark/>
          </w:tcPr>
          <w:p w14:paraId="7FAF9824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ШИФРА</w:t>
            </w:r>
          </w:p>
        </w:tc>
        <w:tc>
          <w:tcPr>
            <w:tcW w:w="6979" w:type="dxa"/>
            <w:shd w:val="clear" w:color="auto" w:fill="BDD6EE"/>
            <w:noWrap/>
            <w:vAlign w:val="center"/>
            <w:hideMark/>
          </w:tcPr>
          <w:p w14:paraId="0E6CA3F4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ДЕЛАТНОСТИ</w:t>
            </w:r>
          </w:p>
        </w:tc>
      </w:tr>
      <w:tr w:rsidR="00102764" w:rsidRPr="00C017CC" w14:paraId="2AD6AF03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</w:tcPr>
          <w:p w14:paraId="284F2881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5010</w:t>
            </w:r>
          </w:p>
        </w:tc>
        <w:tc>
          <w:tcPr>
            <w:tcW w:w="6979" w:type="dxa"/>
            <w:shd w:val="clear" w:color="auto" w:fill="auto"/>
            <w:noWrap/>
            <w:vAlign w:val="center"/>
          </w:tcPr>
          <w:p w14:paraId="7FD1B341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Поморски и приобални превоз путника</w:t>
            </w:r>
          </w:p>
        </w:tc>
      </w:tr>
      <w:tr w:rsidR="00102764" w:rsidRPr="00C017CC" w14:paraId="3AA630AE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</w:tcPr>
          <w:p w14:paraId="0904DD3C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5040</w:t>
            </w:r>
          </w:p>
        </w:tc>
        <w:tc>
          <w:tcPr>
            <w:tcW w:w="6979" w:type="dxa"/>
            <w:shd w:val="clear" w:color="auto" w:fill="auto"/>
            <w:noWrap/>
            <w:vAlign w:val="center"/>
          </w:tcPr>
          <w:p w14:paraId="1AA803CB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Превоз терета унутрашњим пловним путевима</w:t>
            </w:r>
          </w:p>
        </w:tc>
      </w:tr>
      <w:tr w:rsidR="00102764" w:rsidRPr="00C017CC" w14:paraId="3EB4A3B6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14A643F4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5510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498998B8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Хотели и сличан смештај</w:t>
            </w:r>
          </w:p>
        </w:tc>
      </w:tr>
      <w:tr w:rsidR="00102764" w:rsidRPr="00C017CC" w14:paraId="7F463AC5" w14:textId="77777777" w:rsidTr="00D86F91">
        <w:trPr>
          <w:trHeight w:val="390"/>
        </w:trPr>
        <w:tc>
          <w:tcPr>
            <w:tcW w:w="1760" w:type="dxa"/>
            <w:shd w:val="clear" w:color="auto" w:fill="auto"/>
            <w:noWrap/>
            <w:vAlign w:val="center"/>
          </w:tcPr>
          <w:p w14:paraId="1F3CACB3" w14:textId="26382989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5222</w:t>
            </w:r>
          </w:p>
        </w:tc>
        <w:tc>
          <w:tcPr>
            <w:tcW w:w="6979" w:type="dxa"/>
            <w:shd w:val="clear" w:color="auto" w:fill="auto"/>
            <w:noWrap/>
            <w:vAlign w:val="center"/>
          </w:tcPr>
          <w:p w14:paraId="75BA1861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Услужне делатности у воденом саобраћају</w:t>
            </w:r>
          </w:p>
        </w:tc>
      </w:tr>
      <w:tr w:rsidR="00102764" w:rsidRPr="00C017CC" w14:paraId="72985D68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</w:tcPr>
          <w:p w14:paraId="54284B25" w14:textId="1EE9C2D5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5229</w:t>
            </w:r>
          </w:p>
        </w:tc>
        <w:tc>
          <w:tcPr>
            <w:tcW w:w="6979" w:type="dxa"/>
            <w:shd w:val="clear" w:color="auto" w:fill="auto"/>
            <w:noWrap/>
            <w:vAlign w:val="center"/>
          </w:tcPr>
          <w:p w14:paraId="28D79C6A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Остале пратеће делатности у саобраћају</w:t>
            </w:r>
          </w:p>
        </w:tc>
      </w:tr>
      <w:tr w:rsidR="00102764" w:rsidRPr="00C017CC" w14:paraId="70820FBB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5A4442E2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5520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07C6CBB8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Одмаралишта и слични објекти за краћи боравак</w:t>
            </w:r>
          </w:p>
        </w:tc>
      </w:tr>
      <w:tr w:rsidR="00102764" w:rsidRPr="00C017CC" w14:paraId="21E7D242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48A27A7C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5530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7E8CFD76" w14:textId="77777777" w:rsidR="00882440" w:rsidRPr="00C017CC" w:rsidRDefault="00102764" w:rsidP="00ED3F7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Делатност кампова,</w:t>
            </w:r>
            <w:r w:rsidR="0016736E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ауто-</w:t>
            </w:r>
            <w:r w:rsidR="00EC032C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кампова и кампова за </w:t>
            </w:r>
            <w:r w:rsidR="00882440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1C41C323" w14:textId="385BFF4A" w:rsidR="00102764" w:rsidRPr="00C017CC" w:rsidRDefault="00882440" w:rsidP="00882440">
            <w:pPr>
              <w:spacing w:after="0" w:line="240" w:lineRule="auto"/>
              <w:ind w:right="45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</w:t>
            </w:r>
            <w:r w:rsidR="00EC032C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туристичке</w:t>
            </w:r>
            <w:r w:rsidR="00ED3F7D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02764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приколице</w:t>
            </w:r>
          </w:p>
        </w:tc>
      </w:tr>
      <w:tr w:rsidR="00102764" w:rsidRPr="00C017CC" w14:paraId="43575A18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5579FED3" w14:textId="2A24886B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5590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4431BE1E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Остали смештај</w:t>
            </w:r>
          </w:p>
        </w:tc>
      </w:tr>
      <w:tr w:rsidR="00102764" w:rsidRPr="00C017CC" w14:paraId="0E3150B9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0928125B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5610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32F2E053" w14:textId="77777777" w:rsidR="00882440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Делатности ресторана и покретних угоститељских </w:t>
            </w:r>
          </w:p>
          <w:p w14:paraId="6154D30C" w14:textId="56EBE66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објекта</w:t>
            </w:r>
          </w:p>
        </w:tc>
      </w:tr>
      <w:tr w:rsidR="00102764" w:rsidRPr="00C017CC" w14:paraId="417F4F20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14F28920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5621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378341C7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Кетеринг</w:t>
            </w:r>
          </w:p>
        </w:tc>
      </w:tr>
      <w:tr w:rsidR="00102764" w:rsidRPr="00C017CC" w14:paraId="75AB497C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4C0B64AD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5629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6C2229D2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Остале услуге припремања и послуживања хране</w:t>
            </w:r>
          </w:p>
        </w:tc>
      </w:tr>
      <w:tr w:rsidR="00102764" w:rsidRPr="00C017CC" w14:paraId="09D5B8CC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472EFEFA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5630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70F88A12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Услуге припремања и послуживања пића</w:t>
            </w:r>
          </w:p>
        </w:tc>
      </w:tr>
      <w:tr w:rsidR="00102764" w:rsidRPr="00C017CC" w14:paraId="6484CB75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</w:tcPr>
          <w:p w14:paraId="671F1F15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7311</w:t>
            </w:r>
          </w:p>
        </w:tc>
        <w:tc>
          <w:tcPr>
            <w:tcW w:w="6979" w:type="dxa"/>
            <w:shd w:val="clear" w:color="auto" w:fill="auto"/>
            <w:noWrap/>
            <w:vAlign w:val="center"/>
          </w:tcPr>
          <w:p w14:paraId="2FF85294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Делатност рекламних агенција</w:t>
            </w:r>
          </w:p>
        </w:tc>
      </w:tr>
      <w:tr w:rsidR="00102764" w:rsidRPr="00C017CC" w14:paraId="08D5BB01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557E4396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7711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3376E5FC" w14:textId="77777777" w:rsidR="00EC032C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Изнајмљивање и лиз</w:t>
            </w:r>
            <w:r w:rsidR="00EC032C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инг аутомобила и лаких моторних</w:t>
            </w:r>
          </w:p>
          <w:p w14:paraId="67F3A389" w14:textId="62C8266C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возила</w:t>
            </w:r>
          </w:p>
        </w:tc>
      </w:tr>
      <w:tr w:rsidR="00102764" w:rsidRPr="00C017CC" w14:paraId="63FAE3B7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0A73CEFD" w14:textId="7361CBD6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7911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17D8672D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Делатност путничких агенција</w:t>
            </w:r>
          </w:p>
        </w:tc>
      </w:tr>
      <w:tr w:rsidR="00102764" w:rsidRPr="00C017CC" w14:paraId="5BEE3660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2AFED06E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7912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0C8EC37C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Делатност тур-оператора</w:t>
            </w:r>
          </w:p>
        </w:tc>
      </w:tr>
      <w:tr w:rsidR="00102764" w:rsidRPr="00C017CC" w14:paraId="5BD2170F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5CA8E1E8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7990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2CB8D196" w14:textId="77777777" w:rsidR="00400149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Остале услуге резервације и делатности повезане с</w:t>
            </w:r>
          </w:p>
          <w:p w14:paraId="55EF63BC" w14:textId="64BE7C5B" w:rsidR="00102764" w:rsidRPr="00C017CC" w:rsidRDefault="00400149" w:rsidP="00400149">
            <w:pPr>
              <w:spacing w:after="0" w:line="240" w:lineRule="auto"/>
              <w:ind w:right="45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</w:t>
            </w:r>
            <w:r w:rsidR="00102764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02764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њима</w:t>
            </w:r>
          </w:p>
        </w:tc>
      </w:tr>
      <w:tr w:rsidR="00102764" w:rsidRPr="00C017CC" w14:paraId="6C07EB70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25CB8CA4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8230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0CDF4287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Организовање састанака и сајмова</w:t>
            </w:r>
          </w:p>
        </w:tc>
      </w:tr>
      <w:tr w:rsidR="00102764" w:rsidRPr="00C017CC" w14:paraId="023EC5FB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06E022F3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8710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1A5F9D26" w14:textId="77777777" w:rsidR="00400149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Делатности смештајних установа с медицинском</w:t>
            </w:r>
          </w:p>
          <w:p w14:paraId="5FA9701C" w14:textId="1CA1F590" w:rsidR="00102764" w:rsidRPr="00C017CC" w:rsidRDefault="00400149" w:rsidP="00400149">
            <w:pPr>
              <w:spacing w:after="0" w:line="240" w:lineRule="auto"/>
              <w:ind w:right="45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</w:t>
            </w:r>
            <w:r w:rsidR="00102764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негом</w:t>
            </w:r>
          </w:p>
        </w:tc>
      </w:tr>
      <w:tr w:rsidR="00102764" w:rsidRPr="00C017CC" w14:paraId="5490D77B" w14:textId="77777777" w:rsidTr="00D86F91">
        <w:trPr>
          <w:trHeight w:val="395"/>
        </w:trPr>
        <w:tc>
          <w:tcPr>
            <w:tcW w:w="1760" w:type="dxa"/>
            <w:shd w:val="clear" w:color="auto" w:fill="auto"/>
            <w:noWrap/>
            <w:vAlign w:val="center"/>
          </w:tcPr>
          <w:p w14:paraId="72135E85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9002</w:t>
            </w:r>
          </w:p>
        </w:tc>
        <w:tc>
          <w:tcPr>
            <w:tcW w:w="6979" w:type="dxa"/>
            <w:shd w:val="clear" w:color="auto" w:fill="auto"/>
            <w:noWrap/>
            <w:vAlign w:val="center"/>
          </w:tcPr>
          <w:p w14:paraId="37F95DA7" w14:textId="77777777" w:rsidR="00400149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</w:pPr>
            <w:r w:rsidRPr="00C017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Друге уметничке делатности у оквиру извођачке</w:t>
            </w:r>
          </w:p>
          <w:p w14:paraId="6C1DF6C5" w14:textId="7BBBCA1E" w:rsidR="00102764" w:rsidRPr="00C017CC" w:rsidRDefault="00400149" w:rsidP="00400149">
            <w:pPr>
              <w:spacing w:after="0" w:line="240" w:lineRule="auto"/>
              <w:ind w:right="45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        </w:t>
            </w:r>
            <w:r w:rsidR="00102764" w:rsidRPr="00C017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 уметности</w:t>
            </w:r>
          </w:p>
        </w:tc>
      </w:tr>
      <w:tr w:rsidR="00102764" w:rsidRPr="00C017CC" w14:paraId="77B59F15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53A76386" w14:textId="77777777" w:rsidR="00102764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9103</w:t>
            </w:r>
          </w:p>
        </w:tc>
        <w:tc>
          <w:tcPr>
            <w:tcW w:w="6979" w:type="dxa"/>
            <w:shd w:val="clear" w:color="auto" w:fill="auto"/>
            <w:noWrap/>
            <w:vAlign w:val="center"/>
            <w:hideMark/>
          </w:tcPr>
          <w:p w14:paraId="54DA767A" w14:textId="77777777" w:rsidR="009E6480" w:rsidRPr="00C017CC" w:rsidRDefault="00102764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Заштита и </w:t>
            </w:r>
            <w:r w:rsidR="009E6480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одржавање непокретних културних</w:t>
            </w:r>
          </w:p>
          <w:p w14:paraId="78EC5A88" w14:textId="312EE4A0" w:rsidR="00400149" w:rsidRPr="00C017CC" w:rsidRDefault="00102764" w:rsidP="00400149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добара,</w:t>
            </w:r>
            <w:r w:rsidR="00400149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културно-истори</w:t>
            </w:r>
            <w:r w:rsidR="009E6480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јских локација,</w:t>
            </w:r>
            <w:r w:rsidR="00400149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E6480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зграда и </w:t>
            </w:r>
          </w:p>
          <w:p w14:paraId="57A1DD5A" w14:textId="3337A61C" w:rsidR="00102764" w:rsidRPr="00C017CC" w:rsidRDefault="009E6480" w:rsidP="00400149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сличних</w:t>
            </w:r>
            <w:r w:rsidR="00400149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02764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туристичких споменика</w:t>
            </w:r>
          </w:p>
        </w:tc>
      </w:tr>
      <w:tr w:rsidR="00E17D88" w:rsidRPr="00C017CC" w14:paraId="714C01F4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</w:tcPr>
          <w:p w14:paraId="3415E8C6" w14:textId="0ADA28F1" w:rsidR="00E17D88" w:rsidRPr="00C017CC" w:rsidRDefault="00E17D88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4931</w:t>
            </w:r>
          </w:p>
        </w:tc>
        <w:tc>
          <w:tcPr>
            <w:tcW w:w="6979" w:type="dxa"/>
            <w:shd w:val="clear" w:color="auto" w:fill="auto"/>
            <w:noWrap/>
            <w:vAlign w:val="center"/>
          </w:tcPr>
          <w:p w14:paraId="478FC381" w14:textId="006082F5" w:rsidR="00E17D88" w:rsidRPr="00C017CC" w:rsidRDefault="00E17D88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Градски и приградски копнени превоз путника</w:t>
            </w:r>
          </w:p>
        </w:tc>
      </w:tr>
      <w:tr w:rsidR="00E17D88" w:rsidRPr="00C017CC" w14:paraId="054C5B67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</w:tcPr>
          <w:p w14:paraId="6F924DFA" w14:textId="0425525F" w:rsidR="00E17D88" w:rsidRPr="00C017CC" w:rsidRDefault="00E17D88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4939</w:t>
            </w:r>
          </w:p>
        </w:tc>
        <w:tc>
          <w:tcPr>
            <w:tcW w:w="6979" w:type="dxa"/>
            <w:shd w:val="clear" w:color="auto" w:fill="auto"/>
            <w:noWrap/>
            <w:vAlign w:val="center"/>
          </w:tcPr>
          <w:p w14:paraId="5AC65233" w14:textId="1B455FCF" w:rsidR="00E17D88" w:rsidRPr="00C017CC" w:rsidRDefault="00E17D88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Остали превоз путника у копненом саобраћају</w:t>
            </w:r>
          </w:p>
        </w:tc>
      </w:tr>
      <w:tr w:rsidR="00E17D88" w:rsidRPr="00C017CC" w14:paraId="2D7A5E44" w14:textId="77777777" w:rsidTr="00D86F91">
        <w:trPr>
          <w:trHeight w:val="308"/>
        </w:trPr>
        <w:tc>
          <w:tcPr>
            <w:tcW w:w="1760" w:type="dxa"/>
            <w:shd w:val="clear" w:color="auto" w:fill="auto"/>
            <w:noWrap/>
            <w:vAlign w:val="center"/>
          </w:tcPr>
          <w:p w14:paraId="5C65A8F0" w14:textId="1F96DB96" w:rsidR="00E17D88" w:rsidRPr="00C017CC" w:rsidRDefault="00E17D88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5221</w:t>
            </w:r>
            <w:r w:rsidR="00AC654A"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6979" w:type="dxa"/>
            <w:shd w:val="clear" w:color="auto" w:fill="auto"/>
            <w:noWrap/>
            <w:vAlign w:val="center"/>
          </w:tcPr>
          <w:p w14:paraId="430EE52A" w14:textId="0AFFD297" w:rsidR="00E17D88" w:rsidRPr="00C017CC" w:rsidRDefault="00E17D88" w:rsidP="00F86C8D">
            <w:pPr>
              <w:spacing w:after="0" w:line="240" w:lineRule="auto"/>
              <w:ind w:right="458" w:firstLine="71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017C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Услужне делатности у копненом саобраћају</w:t>
            </w:r>
          </w:p>
        </w:tc>
      </w:tr>
    </w:tbl>
    <w:p w14:paraId="679845FA" w14:textId="77777777" w:rsidR="00102764" w:rsidRPr="00C017CC" w:rsidRDefault="00102764" w:rsidP="00F86C8D">
      <w:pPr>
        <w:spacing w:after="0" w:line="240" w:lineRule="auto"/>
        <w:ind w:right="458" w:firstLine="710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14:paraId="79EDC181" w14:textId="09D102BE" w:rsidR="008B37B5" w:rsidRPr="00C017CC" w:rsidRDefault="00AC654A" w:rsidP="00F86C8D">
      <w:pPr>
        <w:spacing w:after="0" w:line="240" w:lineRule="auto"/>
        <w:ind w:right="458" w:firstLine="71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C017CC">
        <w:rPr>
          <w:rFonts w:ascii="Times New Roman" w:hAnsi="Times New Roman" w:cs="Times New Roman"/>
          <w:sz w:val="24"/>
          <w:szCs w:val="24"/>
          <w:lang w:val="sr-Cyrl-CS"/>
        </w:rPr>
        <w:t>Повољнији услови за кредит прописани овим чланом за шифру делатности 5221 – услужне делатности у копненом саобраћају обезбеђују се за привредна друштва која поседују лиценцу за пружање станичних услуга</w:t>
      </w:r>
      <w:r w:rsidR="00B11E55"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4369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у складу са законом којим се уређује превоз путника у друмском саобраћају. </w:t>
      </w:r>
    </w:p>
    <w:p w14:paraId="3DE8A333" w14:textId="77777777" w:rsidR="00D73F20" w:rsidRPr="00C017CC" w:rsidRDefault="00D73F20" w:rsidP="00F86C8D">
      <w:pPr>
        <w:spacing w:after="0" w:line="240" w:lineRule="auto"/>
        <w:ind w:right="458" w:firstLine="71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20C9C361" w14:textId="59B4624B" w:rsidR="00D73F20" w:rsidRDefault="00D73F20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Члан 6.</w:t>
      </w:r>
    </w:p>
    <w:p w14:paraId="782BC0BE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</w:p>
    <w:p w14:paraId="09E0CD3B" w14:textId="5DBC849A" w:rsidR="008B5B95" w:rsidRPr="00C017CC" w:rsidRDefault="00311C5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За клијенте из портфоли</w:t>
      </w:r>
      <w:r w:rsidR="00475CB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ј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 Фонда који већ имају успостављен</w:t>
      </w:r>
      <w:r w:rsidR="00E03D7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реалн</w:t>
      </w:r>
      <w:r w:rsidR="00E03D7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/одговарајућ</w:t>
      </w:r>
      <w:r w:rsidR="00E03D7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3D7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средства обезбеђења</w:t>
      </w:r>
      <w:r w:rsidR="0079225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 кредити се одобравају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уз </w:t>
      </w:r>
      <w:r w:rsidR="00E03D7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средство обезбеђења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вишег реда. </w:t>
      </w:r>
    </w:p>
    <w:p w14:paraId="102DF899" w14:textId="42A60AD6" w:rsidR="008B5B95" w:rsidRPr="00C017CC" w:rsidRDefault="00311C5C" w:rsidP="00F86C8D">
      <w:pPr>
        <w:spacing w:after="0" w:line="240" w:lineRule="auto"/>
        <w:ind w:right="458" w:firstLine="710"/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Непокретности</w:t>
      </w:r>
      <w:r w:rsidR="00C90ABD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односно опрема које служе као обезбеђење </w:t>
      </w:r>
      <w:r w:rsidR="00475CB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кредита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складу са овим</w:t>
      </w:r>
      <w:r w:rsidR="00D73F20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8232B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законом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не морају бити осигуране и полиса не мора бити винкулирана у корист Фонда.</w:t>
      </w:r>
      <w:r w:rsidR="000203EA" w:rsidRPr="00C017C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 xml:space="preserve"> Залога на опреми, роби и/или возилима или хипотека могу бити обезбеђење и за износе кредита мање од 25.000.000,00 динара</w:t>
      </w:r>
      <w:r w:rsidR="004E103F" w:rsidRPr="00C017C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>,</w:t>
      </w:r>
      <w:r w:rsidR="009126D5" w:rsidRPr="00C017C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 xml:space="preserve"> односно мање од 70.000.000,00 </w:t>
      </w:r>
      <w:r w:rsidR="005F1E61" w:rsidRPr="00C017C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 xml:space="preserve">динара </w:t>
      </w:r>
      <w:r w:rsidR="009126D5" w:rsidRPr="00C017C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 xml:space="preserve">за привредне субјекте чија је претежна </w:t>
      </w:r>
      <w:r w:rsidR="00475CB4" w:rsidRPr="00C017C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 xml:space="preserve">делатност </w:t>
      </w:r>
      <w:r w:rsidR="009126D5" w:rsidRPr="00C017C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>из области туризма, угоститељства и путничког саобраћаја</w:t>
      </w:r>
      <w:r w:rsidR="004E103F" w:rsidRPr="00C017C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>.</w:t>
      </w:r>
      <w:r w:rsidR="006B303B" w:rsidRPr="00C017CC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 xml:space="preserve"> </w:t>
      </w:r>
    </w:p>
    <w:p w14:paraId="4EA6C6D8" w14:textId="3E5D1CB0" w:rsidR="008B5B95" w:rsidRPr="00C017CC" w:rsidRDefault="00311C5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Уколико су оснивачи </w:t>
      </w:r>
      <w:r w:rsidR="007B6F9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привредног субјекта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лица која су страни држављани или привредна друштва регистрована у иностранству не достављају </w:t>
      </w:r>
      <w:r w:rsidR="00475CB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се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личне менице оснивача.</w:t>
      </w:r>
    </w:p>
    <w:p w14:paraId="10D85854" w14:textId="23035F92" w:rsidR="00C42081" w:rsidRPr="00C017CC" w:rsidRDefault="00311C5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Привредни субјекти који се определе за коришћење </w:t>
      </w:r>
      <w:r w:rsidR="00E0226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средстава по овом закону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не могу исплаћивати дивиденде до краја </w:t>
      </w:r>
      <w:r w:rsidR="002D710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2021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 године (могућа је исплата у акцијама).</w:t>
      </w:r>
    </w:p>
    <w:p w14:paraId="6B57E200" w14:textId="19A63966" w:rsidR="00EE4843" w:rsidRPr="00C017CC" w:rsidRDefault="007B1603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Kорисницима кредита којима је кредит одобрен у 2020. години,</w:t>
      </w:r>
      <w:r w:rsidR="00C6482A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осим</w:t>
      </w:r>
      <w:r w:rsidR="001A514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75CB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корисника </w:t>
      </w:r>
      <w:r w:rsidR="001A514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чија је претежна </w:t>
      </w:r>
      <w:r w:rsidR="00475CB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делатност</w:t>
      </w:r>
      <w:r w:rsidR="001A514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 области туризма, угоститељства и путничког саобраћаја,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bookmarkStart w:id="1" w:name="_Hlk72150982"/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рок отплате кредита</w:t>
      </w:r>
      <w:r w:rsidR="00F204A8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="00475CB4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може да се продужи </w:t>
      </w:r>
      <w:r w:rsidR="00F204A8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за 12 месеци, у оквиру кога се</w:t>
      </w:r>
      <w:r w:rsidR="001A514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и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грејс период </w:t>
      </w:r>
      <w:r w:rsidR="001A514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и период отплате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продужавају</w:t>
      </w:r>
      <w:r w:rsidR="001A514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за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="00475CB4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шест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месеци</w:t>
      </w:r>
      <w:bookmarkEnd w:id="1"/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без закључивања посебног анекса уговора и пратећих докумената. </w:t>
      </w:r>
    </w:p>
    <w:p w14:paraId="21F90D79" w14:textId="70072370" w:rsidR="00EE4843" w:rsidRPr="00C017CC" w:rsidRDefault="007B1603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Фонд је дужан да корисницима кредита </w:t>
      </w:r>
      <w:r w:rsidR="00730610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из става </w:t>
      </w:r>
      <w:r w:rsidR="00D73F20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5</w:t>
      </w:r>
      <w:r w:rsidR="00730610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. овог члана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понуди продужење рока отплате и грејс периода </w:t>
      </w:r>
      <w:r w:rsidR="00730610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у складу са ставом </w:t>
      </w:r>
      <w:r w:rsidR="00D73F20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5</w:t>
      </w:r>
      <w:r w:rsidR="00730610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. овог члана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и да обавештење о томе објави на својој интернет презентацији, чиме се сматра да су с</w:t>
      </w:r>
      <w:r w:rsidR="00000CF6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ви корисници кредита обавештени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="00302DC2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и да им је понуђено продужење рока отплате и грејс периода. </w:t>
      </w:r>
    </w:p>
    <w:p w14:paraId="7408DEE9" w14:textId="460CAA46" w:rsidR="007B1603" w:rsidRPr="00C017CC" w:rsidRDefault="007B1603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Ако корисник кредита у року од 30 дана од дана објављивања обаве</w:t>
      </w:r>
      <w:r w:rsidR="00885C75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штења не одбије понуду, сматра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се да је ту понуду прихватио</w:t>
      </w:r>
      <w:r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у ком случају ће Фонд сач</w:t>
      </w:r>
      <w:r w:rsidR="009262CD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инити нови план отплате кредита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="00885C75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који</w:t>
      </w:r>
      <w:r w:rsidR="00302DC2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="00885C75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доставља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кориснику кредита путем електронске или редовне поште.</w:t>
      </w:r>
      <w:r w:rsidR="00730610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</w:p>
    <w:p w14:paraId="1F6875CD" w14:textId="1326416E" w:rsidR="00475CB4" w:rsidRPr="00C017CC" w:rsidRDefault="00475CB4" w:rsidP="00F86C8D">
      <w:pPr>
        <w:spacing w:after="0" w:line="240" w:lineRule="auto"/>
        <w:ind w:right="458" w:firstLine="710"/>
        <w:jc w:val="left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3DA8CFBC" w14:textId="0E913B37" w:rsidR="008B5CF9" w:rsidRPr="00C017CC" w:rsidRDefault="008B5CF9" w:rsidP="00F86C8D">
      <w:pPr>
        <w:spacing w:after="0" w:line="240" w:lineRule="auto"/>
        <w:ind w:right="458" w:firstLine="710"/>
        <w:jc w:val="left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749955F7" w14:textId="1B75AE48" w:rsidR="008B5CF9" w:rsidRPr="00C017CC" w:rsidRDefault="008B5CF9" w:rsidP="00F86C8D">
      <w:pPr>
        <w:spacing w:after="0" w:line="240" w:lineRule="auto"/>
        <w:ind w:right="458" w:firstLine="710"/>
        <w:jc w:val="left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0CABBCC7" w14:textId="264D1D62" w:rsidR="008B5CF9" w:rsidRPr="00C017CC" w:rsidRDefault="008B5CF9" w:rsidP="00F86C8D">
      <w:pPr>
        <w:spacing w:after="0" w:line="240" w:lineRule="auto"/>
        <w:ind w:right="458" w:firstLine="710"/>
        <w:jc w:val="left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776D033A" w14:textId="77777777" w:rsidR="008B5CF9" w:rsidRPr="00C017CC" w:rsidRDefault="008B5CF9" w:rsidP="00F86C8D">
      <w:pPr>
        <w:spacing w:after="0" w:line="240" w:lineRule="auto"/>
        <w:ind w:right="458" w:firstLine="710"/>
        <w:jc w:val="left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450E0FC7" w14:textId="77777777" w:rsidR="00774F0C" w:rsidRPr="00C017CC" w:rsidRDefault="00774F0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045941F" w14:textId="77777777" w:rsidR="00774F0C" w:rsidRPr="00C017CC" w:rsidRDefault="00774F0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E854455" w14:textId="72C9516C" w:rsidR="000334CD" w:rsidRPr="00C017CC" w:rsidRDefault="00000CF6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0334CD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V</w:t>
      </w:r>
      <w:r w:rsidR="00B532F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0334CD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ФИНАНСИЈСКИ ОКВИР</w:t>
      </w:r>
    </w:p>
    <w:p w14:paraId="46580391" w14:textId="77777777" w:rsidR="000334CD" w:rsidRPr="00C017CC" w:rsidRDefault="000334CD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1D7C0187" w14:textId="30B37B1B" w:rsidR="000334CD" w:rsidRDefault="000334CD" w:rsidP="00EF0D54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D73F20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="0061433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7086874F" w14:textId="77777777" w:rsidR="00C017CC" w:rsidRPr="00C017CC" w:rsidRDefault="00C017CC" w:rsidP="00EF0D54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</w:p>
    <w:p w14:paraId="42D4EBAB" w14:textId="6790B876" w:rsidR="007B1603" w:rsidRPr="00C017CC" w:rsidRDefault="000334CD" w:rsidP="00F86C8D">
      <w:pPr>
        <w:spacing w:after="0" w:line="240" w:lineRule="auto"/>
        <w:ind w:right="458" w:firstLine="71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Средства за спровођење овог закона</w:t>
      </w:r>
      <w:r w:rsidR="00996C24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биће обезбеђена из кредитне линије </w:t>
      </w:r>
      <w:r w:rsidR="001A1621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EИБ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, у износу од најмање 12.000.000.000,00 динара.</w:t>
      </w:r>
      <w:r w:rsidR="00C04BD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="00671E9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Захтеви за кредит финансирани из ових средстава треба да бу</w:t>
      </w:r>
      <w:r w:rsidR="00C04BD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ду усклађени са </w:t>
      </w:r>
      <w:r w:rsidR="0040635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правилима</w:t>
      </w:r>
      <w:r w:rsidR="00C04BD3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ЕИБ. </w:t>
      </w:r>
      <w:r w:rsidR="00671E9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Уколико захтеви за кредит нису у складу са </w:t>
      </w:r>
      <w:r w:rsidR="0040635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правилима </w:t>
      </w:r>
      <w:r w:rsidR="00671E9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ЕИБ</w:t>
      </w:r>
      <w:r w:rsidR="001241D7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,</w:t>
      </w:r>
      <w:r w:rsidR="00671E9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</w:t>
      </w:r>
      <w:r w:rsidR="001C5C6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исти </w:t>
      </w:r>
      <w:r w:rsidR="00671E9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могу да буду финансирани </w:t>
      </w:r>
      <w:r w:rsidR="00E05368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из</w:t>
      </w:r>
      <w:r w:rsidR="008F78A9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других </w:t>
      </w:r>
      <w:r w:rsidR="00E05368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средстава </w:t>
      </w:r>
      <w:r w:rsidR="00671E9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опредељених за реализацију</w:t>
      </w:r>
      <w:r w:rsidR="00E05368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овог закона</w:t>
      </w:r>
      <w:r w:rsidR="00671E9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под условом да нису забрањен</w:t>
      </w:r>
      <w:r w:rsidR="00E05368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и</w:t>
      </w:r>
      <w:r w:rsidR="00671E9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по неком другом основу.</w:t>
      </w:r>
    </w:p>
    <w:p w14:paraId="4EEC0292" w14:textId="6EDEF89E" w:rsidR="000334CD" w:rsidRPr="00C017CC" w:rsidRDefault="009126D5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Поред кредитне линије </w:t>
      </w:r>
      <w:r w:rsidR="004213F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ЕИБ</w:t>
      </w: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з</w:t>
      </w:r>
      <w:r w:rsidR="000334C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а спровођење </w:t>
      </w:r>
      <w:r w:rsidR="006976B2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овог закона </w:t>
      </w:r>
      <w:r w:rsidR="000334C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користиће се </w:t>
      </w:r>
      <w:r w:rsidR="00996C24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и </w:t>
      </w:r>
      <w:r w:rsidR="000334C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средства Фонда</w:t>
      </w:r>
      <w:r w:rsidR="00C857C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,</w:t>
      </w:r>
      <w:r w:rsidR="00695552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средства опредељена Уредбом која нису пласирана</w:t>
      </w:r>
      <w:r w:rsidR="00F47AA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,</w:t>
      </w:r>
      <w:r w:rsidR="000334C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као и средства из Програма о распореду и коришћењу средстава за кредитну подршку предузећима од стратешког значаја за Републику Србију и осталим предузећима у поступку приватизације преко Фонда</w:t>
      </w:r>
      <w:r w:rsidR="00732697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за развој Републике Србије</w:t>
      </w:r>
      <w:r w:rsidR="000334C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за 202</w:t>
      </w:r>
      <w:r w:rsidR="005D1561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1</w:t>
      </w:r>
      <w:r w:rsidR="000334C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. годину, односно средстава која се налазе на посебном подрачуну код Фонда, а представљају </w:t>
      </w:r>
      <w:r w:rsidR="006976B2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враћена средства </w:t>
      </w:r>
      <w:r w:rsidR="000334CD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по основу одобрених кредита по програмима Владе за субвенције привреди, односно кредитну подршку привреди.</w:t>
      </w:r>
    </w:p>
    <w:p w14:paraId="44074BDA" w14:textId="425F1837" w:rsidR="007B1603" w:rsidRPr="00C017CC" w:rsidRDefault="00000CF6" w:rsidP="00F86C8D">
      <w:pPr>
        <w:spacing w:after="0" w:line="240" w:lineRule="auto"/>
        <w:ind w:right="458" w:firstLine="710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strike/>
          <w:noProof/>
          <w:color w:val="auto"/>
          <w:sz w:val="24"/>
          <w:szCs w:val="24"/>
          <w:lang w:val="sr-Cyrl-CS"/>
        </w:rPr>
        <w:t xml:space="preserve"> </w:t>
      </w:r>
    </w:p>
    <w:p w14:paraId="4D290888" w14:textId="60CBBCB6" w:rsidR="008B5B95" w:rsidRPr="00C017CC" w:rsidRDefault="00311C5C" w:rsidP="00F86C8D">
      <w:pPr>
        <w:pStyle w:val="Heading2"/>
        <w:spacing w:line="240" w:lineRule="auto"/>
        <w:ind w:left="0"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V</w:t>
      </w:r>
      <w:r w:rsidR="00B532F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НАЧИН РЕАЛИЗАЦИЈЕ</w:t>
      </w:r>
    </w:p>
    <w:p w14:paraId="14438731" w14:textId="77777777" w:rsidR="000334CD" w:rsidRPr="00C017CC" w:rsidRDefault="000334CD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471382" w14:textId="2A88F817" w:rsidR="000334CD" w:rsidRDefault="000334CD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D73F20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63A246BF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</w:p>
    <w:p w14:paraId="3A393647" w14:textId="75635A58" w:rsidR="008B5B95" w:rsidRPr="00C017CC" w:rsidRDefault="00311C5C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Министарство привреде (у даљем тексту: Министарство), потписаће са Фондом уговор о комисиону који се односи на </w:t>
      </w:r>
      <w:r w:rsidR="006976B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спровођење овог закона</w:t>
      </w:r>
      <w:r w:rsidR="0073020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којим ће на Фонд бити пренета обавеза обраде захтева привредних субјеката за кредит</w:t>
      </w:r>
      <w:r w:rsidR="0073020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7360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који су</w:t>
      </w:r>
      <w:r w:rsidR="006976B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, у складу са Уредбом,</w:t>
      </w:r>
      <w:r w:rsidR="0097360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примљени </w:t>
      </w:r>
      <w:r w:rsidR="0073020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код Фонда до 10. децембра 2020. године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 обавеза закључивања уговора о кредиту са привредним субјектима, као и контрола наменског коришћења кредитних средстава.</w:t>
      </w:r>
    </w:p>
    <w:p w14:paraId="3FE418B6" w14:textId="36E40649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261D9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Министарство</w:t>
      </w:r>
      <w:r w:rsidR="00016CB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16CBB">
        <w:rPr>
          <w:rFonts w:ascii="Times New Roman" w:hAnsi="Times New Roman" w:cs="Times New Roman"/>
          <w:noProof/>
          <w:sz w:val="24"/>
          <w:szCs w:val="24"/>
          <w:lang w:val="sr-Cyrl-RS"/>
        </w:rPr>
        <w:t>ће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 по закључењу уговора са Фондом</w:t>
      </w:r>
      <w:r w:rsidR="00311C5C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,</w:t>
      </w:r>
      <w:r w:rsidR="00115379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 а у складу са преносом средстава кредита од стране Е</w:t>
      </w:r>
      <w:r w:rsidR="00822794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ИБ</w:t>
      </w:r>
      <w:r w:rsidR="00115379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,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61D9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сукцесивно </w:t>
      </w:r>
      <w:r w:rsidR="00016CBB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преносити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средства за </w:t>
      </w:r>
      <w:r w:rsidR="006976B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спровођење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овог </w:t>
      </w:r>
      <w:r w:rsidR="0082279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закона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Фонду.</w:t>
      </w:r>
      <w:r w:rsidR="008422D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6378B755" w14:textId="66502D87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Техничку подршку </w:t>
      </w:r>
      <w:r w:rsidR="0038232B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у спровођењу </w:t>
      </w:r>
      <w:r w:rsidR="006976B2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овог закона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пружаће Агенција за осигурање и финансирање извоза Републике Србије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а.д. Ужице (у даљем </w:t>
      </w:r>
      <w:r w:rsidR="00805990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тексту: АОФИ),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 основу уговора о сарадњи који ће Фонд закључити са АОФИ.</w:t>
      </w:r>
    </w:p>
    <w:p w14:paraId="291E1DDC" w14:textId="1D2027BC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 одбор Фонда донеће</w:t>
      </w:r>
      <w:r w:rsidR="00EF0D5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најкасније до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976B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31. децембра 2021. године</w:t>
      </w:r>
      <w:r w:rsidR="006976B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одлуке по захтевима </w:t>
      </w:r>
      <w:r w:rsidR="00535A95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који су примљени до 10. децембра 2020. године, а </w:t>
      </w:r>
      <w:r w:rsidR="006976B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о којима до дана ступања на снагу овог закона није одлучено</w:t>
      </w:r>
      <w:r w:rsidR="00000CF6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 висине расположивих средстава </w:t>
      </w:r>
      <w:r w:rsidR="003D3DC6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предвиђених у складу са овим </w:t>
      </w:r>
      <w:r w:rsidR="00973602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з</w:t>
      </w:r>
      <w:r w:rsidR="003D3DC6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аконом.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6A5C50A1" w14:textId="2C5254A6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E665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 овом </w:t>
      </w:r>
      <w:r w:rsidR="00E0226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з</w:t>
      </w:r>
      <w:r w:rsidR="00D5625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акону </w:t>
      </w:r>
      <w:r w:rsidR="008E665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може се </w:t>
      </w:r>
      <w:r w:rsidR="00D5625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одобрити </w:t>
      </w:r>
      <w:r w:rsidR="008E665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само један захтев</w:t>
      </w:r>
      <w:r w:rsidR="003D3DC6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D3DC6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по привредном субјекту</w:t>
      </w:r>
      <w:r w:rsidR="008E665E"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 xml:space="preserve">. </w:t>
      </w:r>
    </w:p>
    <w:p w14:paraId="29C248E8" w14:textId="4483528A" w:rsidR="00551EC4" w:rsidRPr="00C017CC" w:rsidRDefault="00596B22" w:rsidP="00F86C8D">
      <w:pPr>
        <w:spacing w:after="0" w:line="240" w:lineRule="auto"/>
        <w:ind w:right="458" w:firstLine="710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П</w:t>
      </w:r>
      <w:r w:rsidR="005B62C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риликом доделе средстава Фонд</w:t>
      </w:r>
      <w:r w:rsidR="004F74C4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ће</w:t>
      </w:r>
      <w:r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, у складу са  изј</w:t>
      </w:r>
      <w:r w:rsidR="004F74C4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авом подносиоца захтева, водити</w:t>
      </w:r>
      <w:r w:rsidR="005B62C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рачуна о кумулацији средстава у складу са правилима за доделу државне помоћи предвиђеним </w:t>
      </w:r>
      <w:r w:rsidR="00000CF6" w:rsidRPr="00C017CC">
        <w:rPr>
          <w:rFonts w:ascii="Times New Roman" w:hAnsi="Times New Roman" w:cs="Times New Roman"/>
          <w:strike/>
          <w:color w:val="auto"/>
          <w:sz w:val="24"/>
          <w:szCs w:val="24"/>
          <w:lang w:val="sr-Cyrl-CS"/>
        </w:rPr>
        <w:t xml:space="preserve"> </w:t>
      </w:r>
      <w:r w:rsidR="006976B2" w:rsidRPr="00C017CC">
        <w:rPr>
          <w:rFonts w:ascii="Times New Roman" w:hAnsi="Times New Roman" w:cs="Times New Roman"/>
          <w:strike/>
          <w:color w:val="auto"/>
          <w:sz w:val="24"/>
          <w:szCs w:val="24"/>
          <w:lang w:val="sr-Cyrl-CS"/>
        </w:rPr>
        <w:t xml:space="preserve"> </w:t>
      </w:r>
      <w:r w:rsidR="006976B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уредб</w:t>
      </w:r>
      <w:r w:rsidR="00250C94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ом којом се уређују услови и кр</w:t>
      </w:r>
      <w:r w:rsidR="006976B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итеријуми усклађености државне помоћи ради  отклањања озбиљних поремећаја у привреди проузрокован</w:t>
      </w:r>
      <w:r w:rsidR="00310F57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и</w:t>
      </w:r>
      <w:r w:rsidR="006976B2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х епидемијом заразне болести </w:t>
      </w:r>
      <w:r w:rsidR="005B3468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COVID-19</w:t>
      </w:r>
      <w:r w:rsidR="00000CF6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.</w:t>
      </w:r>
    </w:p>
    <w:p w14:paraId="4F77F286" w14:textId="3BC76D91" w:rsidR="00EB0047" w:rsidRPr="00C017CC" w:rsidRDefault="0022499B" w:rsidP="00F86C8D">
      <w:pPr>
        <w:spacing w:after="0" w:line="240" w:lineRule="auto"/>
        <w:ind w:right="458" w:firstLine="710"/>
        <w:rPr>
          <w:rFonts w:ascii="Times New Roman" w:hAnsi="Times New Roman" w:cs="Times New Roman"/>
          <w:strike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Управни одбор Фонда донеће</w:t>
      </w:r>
      <w:r w:rsidR="00732697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услове, критеријуме и процедуре за одобравање кредита за</w:t>
      </w:r>
      <w:r w:rsidR="00B11E55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732697" w:rsidRPr="00C017CC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набавку обртних средстава и одржавање текуће ликвидности у складу са законом којим се уређује Фонд за развој Републике Србије. </w:t>
      </w:r>
    </w:p>
    <w:p w14:paraId="24F3AA8C" w14:textId="0A0BFF09" w:rsidR="0064771D" w:rsidRPr="00C017CC" w:rsidRDefault="0064771D" w:rsidP="00F86C8D">
      <w:pPr>
        <w:spacing w:after="0" w:line="240" w:lineRule="auto"/>
        <w:ind w:right="458" w:firstLine="710"/>
        <w:jc w:val="lef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943B4C5" w14:textId="77777777" w:rsidR="00774F0C" w:rsidRPr="00C017CC" w:rsidRDefault="00774F0C" w:rsidP="00F86C8D">
      <w:pPr>
        <w:spacing w:after="0" w:line="240" w:lineRule="auto"/>
        <w:ind w:right="458" w:firstLine="710"/>
        <w:jc w:val="lef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6FBD345" w14:textId="3475C42C" w:rsidR="008B5B95" w:rsidRPr="00C017CC" w:rsidRDefault="00311C5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VI</w:t>
      </w:r>
      <w:r w:rsidR="00B532F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F47AA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ПРАЋЕЊЕ РЕАЛИЗАЦИЈЕ</w:t>
      </w:r>
    </w:p>
    <w:p w14:paraId="3F053543" w14:textId="77777777" w:rsidR="000334CD" w:rsidRPr="00C017CC" w:rsidRDefault="000334CD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ABEA1A" w14:textId="62069D18" w:rsidR="000334CD" w:rsidRDefault="000334CD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D73F20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9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32C58872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6"/>
          <w:szCs w:val="6"/>
          <w:lang w:val="sr-Cyrl-CS"/>
        </w:rPr>
      </w:pPr>
    </w:p>
    <w:p w14:paraId="55E4BC1B" w14:textId="36F3336D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Надзор и контролу наменског коришћења средстава</w:t>
      </w:r>
      <w:r w:rsidR="001A162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 одобрени</w:t>
      </w:r>
      <w:r w:rsidR="000B4C9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м кредитима и кредитима који се одобравају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складу са овим законом </w:t>
      </w:r>
      <w:r w:rsidR="00815DE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врши Фонд. У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вршењу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контроле, техничку подршку Фонду пружа АОФИ.</w:t>
      </w:r>
    </w:p>
    <w:p w14:paraId="2B08A953" w14:textId="77777777" w:rsidR="00774F0C" w:rsidRPr="00C017CC" w:rsidRDefault="00774F0C" w:rsidP="00F86C8D">
      <w:pPr>
        <w:spacing w:after="0" w:line="240" w:lineRule="auto"/>
        <w:ind w:right="458" w:firstLine="710"/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</w:pPr>
    </w:p>
    <w:p w14:paraId="431140EF" w14:textId="02D7CC36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Корисник средстава дужан је да Фонду и АОФИ у сваком тренутку, од подношења захтева до истека три</w:t>
      </w:r>
      <w:r w:rsidR="003D3DC6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године од закључења уговора</w:t>
      </w:r>
      <w:r w:rsidR="00822794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3D3DC6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E22C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односно пет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годин</w:t>
      </w:r>
      <w:r w:rsidR="00BE22C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 закључења уговора</w:t>
      </w:r>
      <w:r w:rsidR="00C2613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кредите привредним субјектима чија је претежна 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делатност</w:t>
      </w:r>
      <w:r w:rsidR="00C26131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 области туризма, угоститељства и путничког саобраћаја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омогући контролу и увид у документацију потребну ради 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одлучивања о захтеву за кредит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контроле наменског коришћења кредитних средстава.</w:t>
      </w:r>
    </w:p>
    <w:p w14:paraId="07F4E499" w14:textId="4B635785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Фонд ће, на захтев Министарства, достављати периодичне извештаје о 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спровођењу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 контроли спровођења 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овог закона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 исплате последњег кредита.</w:t>
      </w:r>
    </w:p>
    <w:p w14:paraId="58F277E7" w14:textId="462FF3F7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815DE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Фонд ће годишње извештаје 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 спровођењу овог закона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доставити Министарству. Министарство ће извештај ради информисања доставити Влади.</w:t>
      </w:r>
    </w:p>
    <w:p w14:paraId="2C43407F" w14:textId="1A14C604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Фонд је дужан да десет година од </w:t>
      </w:r>
      <w:r w:rsidR="000B03A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доделе кредитних средстава по овом закону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води евиденцију о одобреним кредитима и да Комисији за контролу државне помоћи, на њен захтев, достави сваки податак из евиденције.</w:t>
      </w:r>
    </w:p>
    <w:p w14:paraId="2B0E249A" w14:textId="7FA0B313" w:rsidR="008B5B95" w:rsidRPr="00C017CC" w:rsidRDefault="00AC69AD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Фонд ће 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сва средства примљена у једном месецу по основу месечних ануитета отплате кредита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по одобреним кредитима финансираним средствима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из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буџета Републике Србије </w:t>
      </w:r>
      <w:r w:rsidR="007B160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и кредитне линије</w:t>
      </w:r>
      <w:r w:rsidR="004213FD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ЕИБ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почетком следећег месеца, враћати у буџет Републике Србије, као и 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сва евентуално враћена средства 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стране 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корисника кредита</w:t>
      </w:r>
      <w:r w:rsidR="0056616B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 Наведени износ умањује се</w:t>
      </w:r>
      <w:r w:rsidR="00311C5C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евентуалне трошкове принудне наплате потраживања и трошкове платног промета који падају на терет буџета Републике Србије.</w:t>
      </w:r>
    </w:p>
    <w:p w14:paraId="2B1CE687" w14:textId="77777777" w:rsidR="00906765" w:rsidRPr="00C017CC" w:rsidRDefault="00906765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4549BE3" w14:textId="2EC85EB2" w:rsidR="000334CD" w:rsidRPr="00C017CC" w:rsidRDefault="000334CD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VII</w:t>
      </w:r>
      <w:r w:rsidR="00B532F9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ПРЕЛАЗНЕ И ЗАВРШНЕ ОДРЕДБЕ</w:t>
      </w:r>
    </w:p>
    <w:p w14:paraId="5B344283" w14:textId="77777777" w:rsidR="000334CD" w:rsidRPr="00C017CC" w:rsidRDefault="000334CD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CB160F2" w14:textId="10939EBC" w:rsidR="001A1621" w:rsidRDefault="000334CD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73F20" w:rsidRPr="00C017CC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C017C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A3D4D7E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z w:val="6"/>
          <w:szCs w:val="6"/>
          <w:lang w:val="sr-Cyrl-CS"/>
        </w:rPr>
      </w:pPr>
    </w:p>
    <w:p w14:paraId="0BE0DFEF" w14:textId="3C3A7B21" w:rsidR="001A1621" w:rsidRPr="00C017CC" w:rsidRDefault="001A1621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привредне субјекте којима је кредит одобрен у 2020. години у складу са Уредбом примењују се одредбе </w:t>
      </w:r>
      <w:r w:rsidR="005B3468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уговора о кредиту закључених са тим субјектима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 одредбе овог закона којим</w:t>
      </w:r>
      <w:r w:rsidR="005A0E7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 </w:t>
      </w:r>
      <w:r w:rsidR="005A0E7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уређена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могућност продуж</w:t>
      </w:r>
      <w:r w:rsidR="0011443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ења</w:t>
      </w:r>
      <w:r w:rsidR="00785C55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рок</w:t>
      </w:r>
      <w:r w:rsidR="00114437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отплате кредита</w:t>
      </w:r>
      <w:r w:rsidR="00497DFB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 у оквиру кога се продужавају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грејс период</w:t>
      </w:r>
      <w:r w:rsidR="00497DFB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период отплате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 као и одредбе овог закона које се односе на праћење реализације.</w:t>
      </w:r>
    </w:p>
    <w:p w14:paraId="4CFB9A42" w14:textId="5D35657A" w:rsidR="001A1621" w:rsidRPr="00C017CC" w:rsidRDefault="001A1621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На привредне субјекте који су</w:t>
      </w:r>
      <w:r w:rsidR="005A0E7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складу са Уредбом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поднели захтеве до 10. децембра 2020. године, а о којима </w:t>
      </w:r>
      <w:r w:rsidR="005A0E7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 дана ступања на снагу </w:t>
      </w:r>
      <w:r w:rsidR="00815DE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овог закона 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није одлуч</w:t>
      </w:r>
      <w:r w:rsidR="005A0E7A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ено</w:t>
      </w:r>
      <w:r w:rsidR="00377D8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примењују се одредбе овог закона</w:t>
      </w:r>
      <w:r w:rsidR="001C3B7E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36CFA316" w14:textId="062C00E5" w:rsidR="00C2305E" w:rsidRPr="00C017CC" w:rsidRDefault="00C2305E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6B05A48" w14:textId="6ECBE338" w:rsidR="00C2305E" w:rsidRPr="00C017CC" w:rsidRDefault="008C6A3F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Престанак важења прописа</w:t>
      </w:r>
    </w:p>
    <w:p w14:paraId="0C60A3CC" w14:textId="77777777" w:rsidR="00C2305E" w:rsidRPr="00C017CC" w:rsidRDefault="00C2305E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</w:p>
    <w:p w14:paraId="4F115D32" w14:textId="0DB379FF" w:rsidR="008C6A3F" w:rsidRDefault="00C2305E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73F20" w:rsidRPr="00C017CC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F02AC8" w:rsidRPr="00C017C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95BF451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z w:val="6"/>
          <w:szCs w:val="6"/>
          <w:lang w:val="sr-Cyrl-CS"/>
        </w:rPr>
      </w:pPr>
    </w:p>
    <w:p w14:paraId="683134B5" w14:textId="5E86F6B4" w:rsidR="008C6A3F" w:rsidRPr="00C017CC" w:rsidRDefault="008C6A3F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 xml:space="preserve">Даном ступања на снагу овог закона престаје да важи </w:t>
      </w:r>
      <w:r w:rsidRPr="00C017C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Уредб</w:t>
      </w:r>
      <w:r w:rsidR="007C1FCF" w:rsidRPr="00C017C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Pr="00C017C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</w:t>
      </w:r>
      <w:r w:rsidRPr="00C017C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COVID-19 изазване вирусом SARS-CоV-2 (</w:t>
      </w:r>
      <w:r w:rsidRPr="00C017C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„Службени  гласник РС”, </w:t>
      </w:r>
      <w:r w:rsidRPr="00C017C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sr-Cyrl-CS"/>
        </w:rPr>
        <w:t xml:space="preserve">бр. </w:t>
      </w:r>
      <w:r w:rsidR="00FC5C62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>54/20, 57/20 и 65/20 - др.</w:t>
      </w:r>
      <w:r w:rsidR="00DC7D61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C5C62" w:rsidRPr="00C017CC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Pr="00C017C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)</w:t>
      </w:r>
      <w:r w:rsidR="007C1FCF" w:rsidRPr="00C017CC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  <w:t>.</w:t>
      </w:r>
    </w:p>
    <w:p w14:paraId="184B0186" w14:textId="77777777" w:rsidR="008C6A3F" w:rsidRPr="00C017CC" w:rsidRDefault="008C6A3F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</w:p>
    <w:p w14:paraId="108641A2" w14:textId="01AD4078" w:rsidR="008C6A3F" w:rsidRPr="00C017CC" w:rsidRDefault="008C6A3F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Ступање на снагу</w:t>
      </w:r>
    </w:p>
    <w:p w14:paraId="6E8EFDC1" w14:textId="77777777" w:rsidR="008C6A3F" w:rsidRPr="00C017CC" w:rsidRDefault="008C6A3F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2788E7D" w14:textId="544DE803" w:rsidR="00C2305E" w:rsidRDefault="008C6A3F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D73F20" w:rsidRPr="00C017C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C017C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CA97A0" w14:textId="77777777" w:rsidR="00C017CC" w:rsidRPr="00C017CC" w:rsidRDefault="00C017CC" w:rsidP="00F86C8D">
      <w:pPr>
        <w:spacing w:after="0" w:line="240" w:lineRule="auto"/>
        <w:ind w:right="458" w:firstLine="710"/>
        <w:jc w:val="center"/>
        <w:rPr>
          <w:rFonts w:ascii="Times New Roman" w:hAnsi="Times New Roman" w:cs="Times New Roman"/>
          <w:sz w:val="6"/>
          <w:szCs w:val="6"/>
          <w:lang w:val="sr-Cyrl-CS"/>
        </w:rPr>
      </w:pPr>
    </w:p>
    <w:p w14:paraId="15FF5942" w14:textId="1367552C" w:rsidR="00C2305E" w:rsidRPr="00C017CC" w:rsidRDefault="00C2305E" w:rsidP="00F86C8D">
      <w:pPr>
        <w:spacing w:after="0" w:line="240" w:lineRule="auto"/>
        <w:ind w:right="458" w:firstLine="71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Овај закон ступа на снагу</w:t>
      </w:r>
      <w:r w:rsidR="00E15DC3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наредног дана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 дана објављивања у „Служ</w:t>
      </w:r>
      <w:r w:rsidR="00696E0F"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беном гласнику Републике Србије”</w:t>
      </w:r>
      <w:r w:rsidRPr="00C017CC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sectPr w:rsidR="00C2305E" w:rsidRPr="00C017CC" w:rsidSect="00DB4AB3">
      <w:footerReference w:type="default" r:id="rId8"/>
      <w:pgSz w:w="11900" w:h="16840"/>
      <w:pgMar w:top="709" w:right="910" w:bottom="637" w:left="902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8A235" w16cex:dateUtc="2021-06-07T11:48:00Z"/>
  <w16cex:commentExtensible w16cex:durableId="2468A48E" w16cex:dateUtc="2021-06-07T11:58:00Z"/>
  <w16cex:commentExtensible w16cex:durableId="24689E57" w16cex:dateUtc="2021-06-07T11:32:00Z"/>
  <w16cex:commentExtensible w16cex:durableId="24689E6E" w16cex:dateUtc="2021-06-07T11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41839A" w16cid:durableId="24689E4A"/>
  <w16cid:commentId w16cid:paraId="6FF4B124" w16cid:durableId="2468A235"/>
  <w16cid:commentId w16cid:paraId="54DEDD06" w16cid:durableId="24689E4B"/>
  <w16cid:commentId w16cid:paraId="5584B304" w16cid:durableId="2468A48E"/>
  <w16cid:commentId w16cid:paraId="383ED83A" w16cid:durableId="24689E4C"/>
  <w16cid:commentId w16cid:paraId="6484D3B5" w16cid:durableId="24689E57"/>
  <w16cid:commentId w16cid:paraId="7BF2D317" w16cid:durableId="24689E4D"/>
  <w16cid:commentId w16cid:paraId="115BD1BD" w16cid:durableId="24689E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DD691" w14:textId="77777777" w:rsidR="00B430D0" w:rsidRDefault="00B430D0" w:rsidP="004218FB">
      <w:pPr>
        <w:spacing w:after="0" w:line="240" w:lineRule="auto"/>
      </w:pPr>
      <w:r>
        <w:separator/>
      </w:r>
    </w:p>
  </w:endnote>
  <w:endnote w:type="continuationSeparator" w:id="0">
    <w:p w14:paraId="43E95B2E" w14:textId="77777777" w:rsidR="00B430D0" w:rsidRDefault="00B430D0" w:rsidP="0042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9731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F76DB1" w14:textId="65A68D5B" w:rsidR="00DB4AB3" w:rsidRDefault="00DB4AB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0FD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1F50512" w14:textId="61E93DBE" w:rsidR="004218FB" w:rsidRPr="000F1805" w:rsidRDefault="004218FB" w:rsidP="000F1805">
    <w:pPr>
      <w:pStyle w:val="Footer"/>
      <w:jc w:val="center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10F78" w14:textId="77777777" w:rsidR="00B430D0" w:rsidRDefault="00B430D0" w:rsidP="004218FB">
      <w:pPr>
        <w:spacing w:after="0" w:line="240" w:lineRule="auto"/>
      </w:pPr>
      <w:r>
        <w:separator/>
      </w:r>
    </w:p>
  </w:footnote>
  <w:footnote w:type="continuationSeparator" w:id="0">
    <w:p w14:paraId="33FE8D92" w14:textId="77777777" w:rsidR="00B430D0" w:rsidRDefault="00B430D0" w:rsidP="00421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4CEB"/>
    <w:multiLevelType w:val="hybridMultilevel"/>
    <w:tmpl w:val="7FF4258C"/>
    <w:lvl w:ilvl="0" w:tplc="DA84BDB2">
      <w:start w:val="1"/>
      <w:numFmt w:val="decimal"/>
      <w:lvlText w:val="%1)"/>
      <w:lvlJc w:val="left"/>
      <w:pPr>
        <w:ind w:left="540" w:hanging="360"/>
      </w:pPr>
      <w:rPr>
        <w:rFonts w:ascii="Times New Roman" w:eastAsia="Tahoma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9A476A0"/>
    <w:multiLevelType w:val="hybridMultilevel"/>
    <w:tmpl w:val="E9727DAC"/>
    <w:lvl w:ilvl="0" w:tplc="F28223A6">
      <w:numFmt w:val="bullet"/>
      <w:lvlText w:val="-"/>
      <w:lvlJc w:val="left"/>
      <w:pPr>
        <w:ind w:left="515" w:hanging="360"/>
      </w:pPr>
      <w:rPr>
        <w:rFonts w:ascii="Times New Roman" w:eastAsia="Tahom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75" w:hanging="360"/>
      </w:pPr>
      <w:rPr>
        <w:rFonts w:ascii="Wingdings" w:hAnsi="Wingdings" w:hint="default"/>
      </w:rPr>
    </w:lvl>
  </w:abstractNum>
  <w:abstractNum w:abstractNumId="2" w15:restartNumberingAfterBreak="0">
    <w:nsid w:val="0CA07853"/>
    <w:multiLevelType w:val="hybridMultilevel"/>
    <w:tmpl w:val="C3064A16"/>
    <w:lvl w:ilvl="0" w:tplc="8CEA8F52">
      <w:start w:val="1"/>
      <w:numFmt w:val="decimal"/>
      <w:lvlText w:val="(%1)"/>
      <w:lvlJc w:val="left"/>
      <w:pPr>
        <w:ind w:left="1440" w:hanging="360"/>
      </w:pPr>
      <w:rPr>
        <w:rFonts w:ascii="Times New Roman" w:eastAsia="Tahoma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366879"/>
    <w:multiLevelType w:val="hybridMultilevel"/>
    <w:tmpl w:val="138401F4"/>
    <w:lvl w:ilvl="0" w:tplc="6C5C89F8">
      <w:start w:val="1"/>
      <w:numFmt w:val="decimal"/>
      <w:lvlText w:val="%1)"/>
      <w:lvlJc w:val="left"/>
      <w:pPr>
        <w:ind w:left="83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8CB76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A8C464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FE3D38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9C2F80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CA9660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90F6E8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2861A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2A9F8E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5D70BA"/>
    <w:multiLevelType w:val="hybridMultilevel"/>
    <w:tmpl w:val="96828FCC"/>
    <w:lvl w:ilvl="0" w:tplc="0986DD56">
      <w:start w:val="1"/>
      <w:numFmt w:val="decimal"/>
      <w:lvlText w:val="%1)"/>
      <w:lvlJc w:val="left"/>
      <w:pPr>
        <w:ind w:left="1287" w:hanging="360"/>
      </w:pPr>
      <w:rPr>
        <w:rFonts w:ascii="Times New Roman" w:eastAsia="Tahoma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2007" w:hanging="360"/>
      </w:pPr>
    </w:lvl>
    <w:lvl w:ilvl="2" w:tplc="241A001B" w:tentative="1">
      <w:start w:val="1"/>
      <w:numFmt w:val="lowerRoman"/>
      <w:lvlText w:val="%3."/>
      <w:lvlJc w:val="right"/>
      <w:pPr>
        <w:ind w:left="2727" w:hanging="180"/>
      </w:pPr>
    </w:lvl>
    <w:lvl w:ilvl="3" w:tplc="241A000F" w:tentative="1">
      <w:start w:val="1"/>
      <w:numFmt w:val="decimal"/>
      <w:lvlText w:val="%4."/>
      <w:lvlJc w:val="left"/>
      <w:pPr>
        <w:ind w:left="3447" w:hanging="360"/>
      </w:pPr>
    </w:lvl>
    <w:lvl w:ilvl="4" w:tplc="241A0019" w:tentative="1">
      <w:start w:val="1"/>
      <w:numFmt w:val="lowerLetter"/>
      <w:lvlText w:val="%5."/>
      <w:lvlJc w:val="left"/>
      <w:pPr>
        <w:ind w:left="4167" w:hanging="360"/>
      </w:pPr>
    </w:lvl>
    <w:lvl w:ilvl="5" w:tplc="241A001B" w:tentative="1">
      <w:start w:val="1"/>
      <w:numFmt w:val="lowerRoman"/>
      <w:lvlText w:val="%6."/>
      <w:lvlJc w:val="right"/>
      <w:pPr>
        <w:ind w:left="4887" w:hanging="180"/>
      </w:pPr>
    </w:lvl>
    <w:lvl w:ilvl="6" w:tplc="241A000F" w:tentative="1">
      <w:start w:val="1"/>
      <w:numFmt w:val="decimal"/>
      <w:lvlText w:val="%7."/>
      <w:lvlJc w:val="left"/>
      <w:pPr>
        <w:ind w:left="5607" w:hanging="360"/>
      </w:pPr>
    </w:lvl>
    <w:lvl w:ilvl="7" w:tplc="241A0019" w:tentative="1">
      <w:start w:val="1"/>
      <w:numFmt w:val="lowerLetter"/>
      <w:lvlText w:val="%8."/>
      <w:lvlJc w:val="left"/>
      <w:pPr>
        <w:ind w:left="6327" w:hanging="360"/>
      </w:pPr>
    </w:lvl>
    <w:lvl w:ilvl="8" w:tplc="2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2AE782E"/>
    <w:multiLevelType w:val="hybridMultilevel"/>
    <w:tmpl w:val="9F58917A"/>
    <w:lvl w:ilvl="0" w:tplc="D80CF4C4">
      <w:numFmt w:val="bullet"/>
      <w:lvlText w:val="-"/>
      <w:lvlJc w:val="left"/>
      <w:pPr>
        <w:ind w:left="530" w:hanging="360"/>
      </w:pPr>
      <w:rPr>
        <w:rFonts w:ascii="Tahoma" w:eastAsia="Tahoma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357764CC"/>
    <w:multiLevelType w:val="hybridMultilevel"/>
    <w:tmpl w:val="4134BC7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80665"/>
    <w:multiLevelType w:val="hybridMultilevel"/>
    <w:tmpl w:val="135ACAF8"/>
    <w:lvl w:ilvl="0" w:tplc="44F6E4BE">
      <w:start w:val="1"/>
      <w:numFmt w:val="bullet"/>
      <w:lvlText w:val="–"/>
      <w:lvlJc w:val="left"/>
      <w:pPr>
        <w:ind w:left="1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C8AAD0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F0CBD2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9226B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184B54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926EB2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5AE794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52AE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848688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4066FF"/>
    <w:multiLevelType w:val="hybridMultilevel"/>
    <w:tmpl w:val="71228A84"/>
    <w:lvl w:ilvl="0" w:tplc="75C0A638">
      <w:start w:val="1"/>
      <w:numFmt w:val="decimal"/>
      <w:lvlText w:val="%1)"/>
      <w:lvlJc w:val="left"/>
      <w:pPr>
        <w:ind w:left="18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343B78">
      <w:start w:val="1"/>
      <w:numFmt w:val="lowerLetter"/>
      <w:lvlText w:val="%2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F0E3CC">
      <w:start w:val="1"/>
      <w:numFmt w:val="lowerRoman"/>
      <w:lvlText w:val="%3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2625E">
      <w:start w:val="1"/>
      <w:numFmt w:val="decimal"/>
      <w:lvlText w:val="%4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78C074">
      <w:start w:val="1"/>
      <w:numFmt w:val="lowerLetter"/>
      <w:lvlText w:val="%5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6059CE">
      <w:start w:val="1"/>
      <w:numFmt w:val="lowerRoman"/>
      <w:lvlText w:val="%6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265DDE">
      <w:start w:val="1"/>
      <w:numFmt w:val="decimal"/>
      <w:lvlText w:val="%7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A495C6">
      <w:start w:val="1"/>
      <w:numFmt w:val="lowerLetter"/>
      <w:lvlText w:val="%8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CCA558">
      <w:start w:val="1"/>
      <w:numFmt w:val="lowerRoman"/>
      <w:lvlText w:val="%9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855EB6"/>
    <w:multiLevelType w:val="hybridMultilevel"/>
    <w:tmpl w:val="07C8C4CE"/>
    <w:lvl w:ilvl="0" w:tplc="4428FEAE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52199"/>
    <w:multiLevelType w:val="hybridMultilevel"/>
    <w:tmpl w:val="1F541AEC"/>
    <w:lvl w:ilvl="0" w:tplc="5DCA7F6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701535"/>
    <w:multiLevelType w:val="hybridMultilevel"/>
    <w:tmpl w:val="A78E9A68"/>
    <w:lvl w:ilvl="0" w:tplc="FA0EA168">
      <w:start w:val="1"/>
      <w:numFmt w:val="decimal"/>
      <w:lvlText w:val="(%1)"/>
      <w:lvlJc w:val="left"/>
      <w:pPr>
        <w:ind w:left="709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EE05C2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3C157E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02F296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E63F36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5AC050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A4E282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20BC4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6049A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8235CB"/>
    <w:multiLevelType w:val="hybridMultilevel"/>
    <w:tmpl w:val="0F20A59A"/>
    <w:lvl w:ilvl="0" w:tplc="A0D0C48C">
      <w:start w:val="1"/>
      <w:numFmt w:val="decimal"/>
      <w:lvlText w:val="%1)"/>
      <w:lvlJc w:val="left"/>
      <w:pPr>
        <w:ind w:left="408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7A425E">
      <w:start w:val="1"/>
      <w:numFmt w:val="lowerLetter"/>
      <w:lvlText w:val="%2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2E4968">
      <w:start w:val="1"/>
      <w:numFmt w:val="lowerRoman"/>
      <w:lvlText w:val="%3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DA7E9A">
      <w:start w:val="1"/>
      <w:numFmt w:val="decimal"/>
      <w:lvlText w:val="%4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2A8F74">
      <w:start w:val="1"/>
      <w:numFmt w:val="lowerLetter"/>
      <w:lvlText w:val="%5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CE2408">
      <w:start w:val="1"/>
      <w:numFmt w:val="lowerRoman"/>
      <w:lvlText w:val="%6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4C6D2">
      <w:start w:val="1"/>
      <w:numFmt w:val="decimal"/>
      <w:lvlText w:val="%7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96B91E">
      <w:start w:val="1"/>
      <w:numFmt w:val="lowerLetter"/>
      <w:lvlText w:val="%8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82319A">
      <w:start w:val="1"/>
      <w:numFmt w:val="lowerRoman"/>
      <w:lvlText w:val="%9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0C1532"/>
    <w:multiLevelType w:val="hybridMultilevel"/>
    <w:tmpl w:val="DE588FF4"/>
    <w:lvl w:ilvl="0" w:tplc="5D527812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E4AA6"/>
    <w:multiLevelType w:val="hybridMultilevel"/>
    <w:tmpl w:val="F8A8EE3A"/>
    <w:lvl w:ilvl="0" w:tplc="AB36A79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153A12"/>
    <w:multiLevelType w:val="hybridMultilevel"/>
    <w:tmpl w:val="10086DEC"/>
    <w:lvl w:ilvl="0" w:tplc="85EE5D16">
      <w:start w:val="1"/>
      <w:numFmt w:val="decimal"/>
      <w:lvlText w:val="%1."/>
      <w:lvlJc w:val="left"/>
      <w:pPr>
        <w:ind w:left="180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149FB4">
      <w:start w:val="1"/>
      <w:numFmt w:val="lowerLetter"/>
      <w:lvlText w:val="%2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14FD9A">
      <w:start w:val="1"/>
      <w:numFmt w:val="lowerRoman"/>
      <w:lvlText w:val="%3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C58A4">
      <w:start w:val="1"/>
      <w:numFmt w:val="decimal"/>
      <w:lvlText w:val="%4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704220">
      <w:start w:val="1"/>
      <w:numFmt w:val="lowerLetter"/>
      <w:lvlText w:val="%5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AEF7D0">
      <w:start w:val="1"/>
      <w:numFmt w:val="lowerRoman"/>
      <w:lvlText w:val="%6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524D66">
      <w:start w:val="1"/>
      <w:numFmt w:val="decimal"/>
      <w:lvlText w:val="%7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0E7E3A">
      <w:start w:val="1"/>
      <w:numFmt w:val="lowerLetter"/>
      <w:lvlText w:val="%8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F68634">
      <w:start w:val="1"/>
      <w:numFmt w:val="lowerRoman"/>
      <w:lvlText w:val="%9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144317A"/>
    <w:multiLevelType w:val="hybridMultilevel"/>
    <w:tmpl w:val="90DA7220"/>
    <w:lvl w:ilvl="0" w:tplc="06100D68">
      <w:start w:val="1"/>
      <w:numFmt w:val="decimal"/>
      <w:lvlText w:val="(%1)"/>
      <w:lvlJc w:val="left"/>
      <w:pPr>
        <w:ind w:left="123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59" w:hanging="360"/>
      </w:pPr>
    </w:lvl>
    <w:lvl w:ilvl="2" w:tplc="241A001B" w:tentative="1">
      <w:start w:val="1"/>
      <w:numFmt w:val="lowerRoman"/>
      <w:lvlText w:val="%3."/>
      <w:lvlJc w:val="right"/>
      <w:pPr>
        <w:ind w:left="2679" w:hanging="180"/>
      </w:pPr>
    </w:lvl>
    <w:lvl w:ilvl="3" w:tplc="241A000F" w:tentative="1">
      <w:start w:val="1"/>
      <w:numFmt w:val="decimal"/>
      <w:lvlText w:val="%4."/>
      <w:lvlJc w:val="left"/>
      <w:pPr>
        <w:ind w:left="3399" w:hanging="360"/>
      </w:pPr>
    </w:lvl>
    <w:lvl w:ilvl="4" w:tplc="241A0019" w:tentative="1">
      <w:start w:val="1"/>
      <w:numFmt w:val="lowerLetter"/>
      <w:lvlText w:val="%5."/>
      <w:lvlJc w:val="left"/>
      <w:pPr>
        <w:ind w:left="4119" w:hanging="360"/>
      </w:pPr>
    </w:lvl>
    <w:lvl w:ilvl="5" w:tplc="241A001B" w:tentative="1">
      <w:start w:val="1"/>
      <w:numFmt w:val="lowerRoman"/>
      <w:lvlText w:val="%6."/>
      <w:lvlJc w:val="right"/>
      <w:pPr>
        <w:ind w:left="4839" w:hanging="180"/>
      </w:pPr>
    </w:lvl>
    <w:lvl w:ilvl="6" w:tplc="241A000F" w:tentative="1">
      <w:start w:val="1"/>
      <w:numFmt w:val="decimal"/>
      <w:lvlText w:val="%7."/>
      <w:lvlJc w:val="left"/>
      <w:pPr>
        <w:ind w:left="5559" w:hanging="360"/>
      </w:pPr>
    </w:lvl>
    <w:lvl w:ilvl="7" w:tplc="241A0019" w:tentative="1">
      <w:start w:val="1"/>
      <w:numFmt w:val="lowerLetter"/>
      <w:lvlText w:val="%8."/>
      <w:lvlJc w:val="left"/>
      <w:pPr>
        <w:ind w:left="6279" w:hanging="360"/>
      </w:pPr>
    </w:lvl>
    <w:lvl w:ilvl="8" w:tplc="241A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7" w15:restartNumberingAfterBreak="0">
    <w:nsid w:val="62F82030"/>
    <w:multiLevelType w:val="hybridMultilevel"/>
    <w:tmpl w:val="0166219E"/>
    <w:lvl w:ilvl="0" w:tplc="7EE480B2">
      <w:start w:val="4"/>
      <w:numFmt w:val="decimal"/>
      <w:lvlText w:val="%1)"/>
      <w:lvlJc w:val="left"/>
      <w:pPr>
        <w:ind w:left="1440" w:hanging="360"/>
      </w:pPr>
      <w:rPr>
        <w:rFonts w:ascii="Times New Roman" w:eastAsia="Tahoma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3303B"/>
    <w:multiLevelType w:val="hybridMultilevel"/>
    <w:tmpl w:val="BE80E438"/>
    <w:lvl w:ilvl="0" w:tplc="DBA6E90E">
      <w:start w:val="1"/>
      <w:numFmt w:val="decimal"/>
      <w:lvlText w:val="(%1)"/>
      <w:lvlJc w:val="left"/>
      <w:pPr>
        <w:ind w:left="927" w:hanging="360"/>
      </w:pPr>
      <w:rPr>
        <w:rFonts w:ascii="Times New Roman" w:eastAsia="Tahoma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3DF2B86"/>
    <w:multiLevelType w:val="hybridMultilevel"/>
    <w:tmpl w:val="11EA8F2A"/>
    <w:lvl w:ilvl="0" w:tplc="60889EC2">
      <w:start w:val="5"/>
      <w:numFmt w:val="decimal"/>
      <w:lvlText w:val="%1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 w15:restartNumberingAfterBreak="0">
    <w:nsid w:val="69BB7F53"/>
    <w:multiLevelType w:val="hybridMultilevel"/>
    <w:tmpl w:val="DB8C0A4E"/>
    <w:lvl w:ilvl="0" w:tplc="3BC2CF1C">
      <w:start w:val="1"/>
      <w:numFmt w:val="decimal"/>
      <w:lvlText w:val="(%1)"/>
      <w:lvlJc w:val="left"/>
      <w:pPr>
        <w:ind w:left="53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50" w:hanging="360"/>
      </w:pPr>
    </w:lvl>
    <w:lvl w:ilvl="2" w:tplc="241A001B" w:tentative="1">
      <w:start w:val="1"/>
      <w:numFmt w:val="lowerRoman"/>
      <w:lvlText w:val="%3."/>
      <w:lvlJc w:val="right"/>
      <w:pPr>
        <w:ind w:left="1970" w:hanging="180"/>
      </w:pPr>
    </w:lvl>
    <w:lvl w:ilvl="3" w:tplc="241A000F" w:tentative="1">
      <w:start w:val="1"/>
      <w:numFmt w:val="decimal"/>
      <w:lvlText w:val="%4."/>
      <w:lvlJc w:val="left"/>
      <w:pPr>
        <w:ind w:left="2690" w:hanging="360"/>
      </w:pPr>
    </w:lvl>
    <w:lvl w:ilvl="4" w:tplc="241A0019" w:tentative="1">
      <w:start w:val="1"/>
      <w:numFmt w:val="lowerLetter"/>
      <w:lvlText w:val="%5."/>
      <w:lvlJc w:val="left"/>
      <w:pPr>
        <w:ind w:left="3410" w:hanging="360"/>
      </w:pPr>
    </w:lvl>
    <w:lvl w:ilvl="5" w:tplc="241A001B" w:tentative="1">
      <w:start w:val="1"/>
      <w:numFmt w:val="lowerRoman"/>
      <w:lvlText w:val="%6."/>
      <w:lvlJc w:val="right"/>
      <w:pPr>
        <w:ind w:left="4130" w:hanging="180"/>
      </w:pPr>
    </w:lvl>
    <w:lvl w:ilvl="6" w:tplc="241A000F" w:tentative="1">
      <w:start w:val="1"/>
      <w:numFmt w:val="decimal"/>
      <w:lvlText w:val="%7."/>
      <w:lvlJc w:val="left"/>
      <w:pPr>
        <w:ind w:left="4850" w:hanging="360"/>
      </w:pPr>
    </w:lvl>
    <w:lvl w:ilvl="7" w:tplc="241A0019" w:tentative="1">
      <w:start w:val="1"/>
      <w:numFmt w:val="lowerLetter"/>
      <w:lvlText w:val="%8."/>
      <w:lvlJc w:val="left"/>
      <w:pPr>
        <w:ind w:left="5570" w:hanging="360"/>
      </w:pPr>
    </w:lvl>
    <w:lvl w:ilvl="8" w:tplc="241A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1" w15:restartNumberingAfterBreak="0">
    <w:nsid w:val="6E080052"/>
    <w:multiLevelType w:val="hybridMultilevel"/>
    <w:tmpl w:val="86D2A9C2"/>
    <w:lvl w:ilvl="0" w:tplc="F9642E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8982A52"/>
    <w:multiLevelType w:val="hybridMultilevel"/>
    <w:tmpl w:val="A55C5412"/>
    <w:lvl w:ilvl="0" w:tplc="95263E2A">
      <w:start w:val="1"/>
      <w:numFmt w:val="bullet"/>
      <w:lvlText w:val="–"/>
      <w:lvlJc w:val="left"/>
      <w:pPr>
        <w:ind w:left="28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CC5E0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CE97FE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C6292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540974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02F20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B8B9BE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9EA17E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26016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EE3176"/>
    <w:multiLevelType w:val="hybridMultilevel"/>
    <w:tmpl w:val="ED80FE34"/>
    <w:lvl w:ilvl="0" w:tplc="2F3EE9A4">
      <w:numFmt w:val="bullet"/>
      <w:lvlText w:val="-"/>
      <w:lvlJc w:val="left"/>
      <w:pPr>
        <w:ind w:left="530" w:hanging="360"/>
      </w:pPr>
      <w:rPr>
        <w:rFonts w:ascii="Tahoma" w:eastAsia="Tahoma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"/>
  </w:num>
  <w:num w:numId="4">
    <w:abstractNumId w:val="12"/>
  </w:num>
  <w:num w:numId="5">
    <w:abstractNumId w:val="7"/>
  </w:num>
  <w:num w:numId="6">
    <w:abstractNumId w:val="8"/>
  </w:num>
  <w:num w:numId="7">
    <w:abstractNumId w:val="11"/>
  </w:num>
  <w:num w:numId="8">
    <w:abstractNumId w:val="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18"/>
  </w:num>
  <w:num w:numId="14">
    <w:abstractNumId w:val="14"/>
  </w:num>
  <w:num w:numId="15">
    <w:abstractNumId w:val="21"/>
  </w:num>
  <w:num w:numId="16">
    <w:abstractNumId w:val="20"/>
  </w:num>
  <w:num w:numId="17">
    <w:abstractNumId w:val="10"/>
  </w:num>
  <w:num w:numId="18">
    <w:abstractNumId w:val="16"/>
  </w:num>
  <w:num w:numId="19">
    <w:abstractNumId w:val="17"/>
  </w:num>
  <w:num w:numId="20">
    <w:abstractNumId w:val="1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3"/>
  </w:num>
  <w:num w:numId="24">
    <w:abstractNumId w:val="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95"/>
    <w:rsid w:val="00000CF6"/>
    <w:rsid w:val="00002DC2"/>
    <w:rsid w:val="000036D7"/>
    <w:rsid w:val="00010767"/>
    <w:rsid w:val="00012161"/>
    <w:rsid w:val="00013CF9"/>
    <w:rsid w:val="00015EF9"/>
    <w:rsid w:val="00016CBB"/>
    <w:rsid w:val="000203EA"/>
    <w:rsid w:val="00021C48"/>
    <w:rsid w:val="000334CD"/>
    <w:rsid w:val="00036B0B"/>
    <w:rsid w:val="00054442"/>
    <w:rsid w:val="0006122B"/>
    <w:rsid w:val="00066A28"/>
    <w:rsid w:val="000772A6"/>
    <w:rsid w:val="00093BC3"/>
    <w:rsid w:val="000A2DCB"/>
    <w:rsid w:val="000B03A3"/>
    <w:rsid w:val="000B3B1A"/>
    <w:rsid w:val="000B4C94"/>
    <w:rsid w:val="000D16E0"/>
    <w:rsid w:val="000D2363"/>
    <w:rsid w:val="000E3AD3"/>
    <w:rsid w:val="000F1805"/>
    <w:rsid w:val="000F1F9C"/>
    <w:rsid w:val="000F7B4D"/>
    <w:rsid w:val="0010049D"/>
    <w:rsid w:val="00101C6D"/>
    <w:rsid w:val="00102764"/>
    <w:rsid w:val="001042A5"/>
    <w:rsid w:val="00114437"/>
    <w:rsid w:val="00115379"/>
    <w:rsid w:val="001241D7"/>
    <w:rsid w:val="00127469"/>
    <w:rsid w:val="00130FDD"/>
    <w:rsid w:val="00145D0D"/>
    <w:rsid w:val="0016736E"/>
    <w:rsid w:val="00174E23"/>
    <w:rsid w:val="00181205"/>
    <w:rsid w:val="00182A73"/>
    <w:rsid w:val="001911D2"/>
    <w:rsid w:val="001A1621"/>
    <w:rsid w:val="001A35F1"/>
    <w:rsid w:val="001A5143"/>
    <w:rsid w:val="001A6A22"/>
    <w:rsid w:val="001A7CFB"/>
    <w:rsid w:val="001B03E7"/>
    <w:rsid w:val="001B0F6E"/>
    <w:rsid w:val="001B5C17"/>
    <w:rsid w:val="001C07B4"/>
    <w:rsid w:val="001C3B7E"/>
    <w:rsid w:val="001C5C6D"/>
    <w:rsid w:val="001C7467"/>
    <w:rsid w:val="001D4E3A"/>
    <w:rsid w:val="001D605F"/>
    <w:rsid w:val="001E0D63"/>
    <w:rsid w:val="001F3546"/>
    <w:rsid w:val="001F5069"/>
    <w:rsid w:val="001F7E7B"/>
    <w:rsid w:val="002024E6"/>
    <w:rsid w:val="0020414D"/>
    <w:rsid w:val="0020599A"/>
    <w:rsid w:val="00206707"/>
    <w:rsid w:val="00223807"/>
    <w:rsid w:val="00223DE5"/>
    <w:rsid w:val="0022499B"/>
    <w:rsid w:val="00242A1C"/>
    <w:rsid w:val="00250C94"/>
    <w:rsid w:val="00261D94"/>
    <w:rsid w:val="0027354F"/>
    <w:rsid w:val="0027457E"/>
    <w:rsid w:val="002815B5"/>
    <w:rsid w:val="00294F9A"/>
    <w:rsid w:val="00295302"/>
    <w:rsid w:val="002A1811"/>
    <w:rsid w:val="002A699F"/>
    <w:rsid w:val="002A7660"/>
    <w:rsid w:val="002B0A17"/>
    <w:rsid w:val="002B767E"/>
    <w:rsid w:val="002D5710"/>
    <w:rsid w:val="002D7104"/>
    <w:rsid w:val="00302202"/>
    <w:rsid w:val="00302DC2"/>
    <w:rsid w:val="0030645C"/>
    <w:rsid w:val="00310F57"/>
    <w:rsid w:val="00311C5C"/>
    <w:rsid w:val="003132D2"/>
    <w:rsid w:val="00315A29"/>
    <w:rsid w:val="00323D36"/>
    <w:rsid w:val="00326248"/>
    <w:rsid w:val="003351F9"/>
    <w:rsid w:val="00342F9A"/>
    <w:rsid w:val="0035083C"/>
    <w:rsid w:val="00352082"/>
    <w:rsid w:val="00371518"/>
    <w:rsid w:val="00372BE4"/>
    <w:rsid w:val="00377D83"/>
    <w:rsid w:val="0038232B"/>
    <w:rsid w:val="00383788"/>
    <w:rsid w:val="00386C1E"/>
    <w:rsid w:val="003B2782"/>
    <w:rsid w:val="003B3C97"/>
    <w:rsid w:val="003B55A9"/>
    <w:rsid w:val="003D3A9C"/>
    <w:rsid w:val="003D3DC6"/>
    <w:rsid w:val="003D7512"/>
    <w:rsid w:val="003F433E"/>
    <w:rsid w:val="00400149"/>
    <w:rsid w:val="00402A4E"/>
    <w:rsid w:val="0040635E"/>
    <w:rsid w:val="004213FD"/>
    <w:rsid w:val="004218FB"/>
    <w:rsid w:val="004358F3"/>
    <w:rsid w:val="00436799"/>
    <w:rsid w:val="00462586"/>
    <w:rsid w:val="00472A36"/>
    <w:rsid w:val="00474E2A"/>
    <w:rsid w:val="00475CB4"/>
    <w:rsid w:val="004854B2"/>
    <w:rsid w:val="00485E1F"/>
    <w:rsid w:val="00497DFB"/>
    <w:rsid w:val="004A7959"/>
    <w:rsid w:val="004B222D"/>
    <w:rsid w:val="004B3D09"/>
    <w:rsid w:val="004B5D5C"/>
    <w:rsid w:val="004D43D2"/>
    <w:rsid w:val="004E103F"/>
    <w:rsid w:val="004E4DF2"/>
    <w:rsid w:val="004F74C4"/>
    <w:rsid w:val="0051088F"/>
    <w:rsid w:val="00515366"/>
    <w:rsid w:val="00535A95"/>
    <w:rsid w:val="005369FE"/>
    <w:rsid w:val="00551EC4"/>
    <w:rsid w:val="0055556F"/>
    <w:rsid w:val="0056616B"/>
    <w:rsid w:val="00566FAC"/>
    <w:rsid w:val="00575E1B"/>
    <w:rsid w:val="00576769"/>
    <w:rsid w:val="00585219"/>
    <w:rsid w:val="00590579"/>
    <w:rsid w:val="005940C2"/>
    <w:rsid w:val="00596098"/>
    <w:rsid w:val="00596B22"/>
    <w:rsid w:val="00597489"/>
    <w:rsid w:val="005A0E7A"/>
    <w:rsid w:val="005A2736"/>
    <w:rsid w:val="005B211B"/>
    <w:rsid w:val="005B3468"/>
    <w:rsid w:val="005B62C2"/>
    <w:rsid w:val="005C2D53"/>
    <w:rsid w:val="005C6DEE"/>
    <w:rsid w:val="005D03F8"/>
    <w:rsid w:val="005D0B7A"/>
    <w:rsid w:val="005D0E76"/>
    <w:rsid w:val="005D1561"/>
    <w:rsid w:val="005E269F"/>
    <w:rsid w:val="005E5C01"/>
    <w:rsid w:val="005F1E61"/>
    <w:rsid w:val="005F2C6B"/>
    <w:rsid w:val="0061202B"/>
    <w:rsid w:val="00614334"/>
    <w:rsid w:val="006163A2"/>
    <w:rsid w:val="00621C3C"/>
    <w:rsid w:val="0063489D"/>
    <w:rsid w:val="00642F28"/>
    <w:rsid w:val="0064771D"/>
    <w:rsid w:val="00652755"/>
    <w:rsid w:val="00671E9E"/>
    <w:rsid w:val="00695552"/>
    <w:rsid w:val="006957ED"/>
    <w:rsid w:val="00696E0F"/>
    <w:rsid w:val="00696FF7"/>
    <w:rsid w:val="006976B2"/>
    <w:rsid w:val="006A0450"/>
    <w:rsid w:val="006A47FE"/>
    <w:rsid w:val="006B1827"/>
    <w:rsid w:val="006B303B"/>
    <w:rsid w:val="006B780C"/>
    <w:rsid w:val="006D3656"/>
    <w:rsid w:val="006F6490"/>
    <w:rsid w:val="00707BA4"/>
    <w:rsid w:val="00721025"/>
    <w:rsid w:val="00730204"/>
    <w:rsid w:val="00730610"/>
    <w:rsid w:val="00730EF0"/>
    <w:rsid w:val="00732697"/>
    <w:rsid w:val="007338DA"/>
    <w:rsid w:val="007456DD"/>
    <w:rsid w:val="00754313"/>
    <w:rsid w:val="00757807"/>
    <w:rsid w:val="00770B1A"/>
    <w:rsid w:val="00773A85"/>
    <w:rsid w:val="00774F0C"/>
    <w:rsid w:val="00785C55"/>
    <w:rsid w:val="0078663B"/>
    <w:rsid w:val="0079225E"/>
    <w:rsid w:val="00797EE1"/>
    <w:rsid w:val="007B1603"/>
    <w:rsid w:val="007B2DCB"/>
    <w:rsid w:val="007B4511"/>
    <w:rsid w:val="007B6F9C"/>
    <w:rsid w:val="007C1FCF"/>
    <w:rsid w:val="007D1D06"/>
    <w:rsid w:val="007E54D4"/>
    <w:rsid w:val="007E6881"/>
    <w:rsid w:val="007F58B2"/>
    <w:rsid w:val="0080313D"/>
    <w:rsid w:val="00805990"/>
    <w:rsid w:val="0081012A"/>
    <w:rsid w:val="0081259D"/>
    <w:rsid w:val="00815DE3"/>
    <w:rsid w:val="0082011D"/>
    <w:rsid w:val="00822794"/>
    <w:rsid w:val="00833B4C"/>
    <w:rsid w:val="008422DC"/>
    <w:rsid w:val="0084515C"/>
    <w:rsid w:val="008520AF"/>
    <w:rsid w:val="00856A22"/>
    <w:rsid w:val="008665A3"/>
    <w:rsid w:val="00866B83"/>
    <w:rsid w:val="00870054"/>
    <w:rsid w:val="008742FF"/>
    <w:rsid w:val="00875DBA"/>
    <w:rsid w:val="00876411"/>
    <w:rsid w:val="008822CF"/>
    <w:rsid w:val="00882440"/>
    <w:rsid w:val="00884369"/>
    <w:rsid w:val="00885C75"/>
    <w:rsid w:val="008925FC"/>
    <w:rsid w:val="00892921"/>
    <w:rsid w:val="00894AB6"/>
    <w:rsid w:val="008956C7"/>
    <w:rsid w:val="008B2CE7"/>
    <w:rsid w:val="008B37B5"/>
    <w:rsid w:val="008B5B95"/>
    <w:rsid w:val="008B5CF9"/>
    <w:rsid w:val="008C6A3F"/>
    <w:rsid w:val="008E118E"/>
    <w:rsid w:val="008E4681"/>
    <w:rsid w:val="008E5277"/>
    <w:rsid w:val="008E665E"/>
    <w:rsid w:val="008E7FD5"/>
    <w:rsid w:val="008F31DC"/>
    <w:rsid w:val="008F552E"/>
    <w:rsid w:val="008F78A9"/>
    <w:rsid w:val="00906765"/>
    <w:rsid w:val="009068AF"/>
    <w:rsid w:val="009126D5"/>
    <w:rsid w:val="009134B3"/>
    <w:rsid w:val="009262CD"/>
    <w:rsid w:val="00927DC1"/>
    <w:rsid w:val="00937120"/>
    <w:rsid w:val="00970AE2"/>
    <w:rsid w:val="00973602"/>
    <w:rsid w:val="009744CD"/>
    <w:rsid w:val="00977EF5"/>
    <w:rsid w:val="009908CE"/>
    <w:rsid w:val="009943CC"/>
    <w:rsid w:val="00994AD8"/>
    <w:rsid w:val="00996C24"/>
    <w:rsid w:val="009B022B"/>
    <w:rsid w:val="009B40BF"/>
    <w:rsid w:val="009D7C12"/>
    <w:rsid w:val="009E6480"/>
    <w:rsid w:val="009F071B"/>
    <w:rsid w:val="00A0317B"/>
    <w:rsid w:val="00A042F2"/>
    <w:rsid w:val="00A07CC5"/>
    <w:rsid w:val="00A15AF2"/>
    <w:rsid w:val="00A22746"/>
    <w:rsid w:val="00A2767A"/>
    <w:rsid w:val="00A33722"/>
    <w:rsid w:val="00A52884"/>
    <w:rsid w:val="00A73353"/>
    <w:rsid w:val="00A7336A"/>
    <w:rsid w:val="00A76FEC"/>
    <w:rsid w:val="00A96B1B"/>
    <w:rsid w:val="00AA1E46"/>
    <w:rsid w:val="00AB17CB"/>
    <w:rsid w:val="00AC3DB7"/>
    <w:rsid w:val="00AC654A"/>
    <w:rsid w:val="00AC69AD"/>
    <w:rsid w:val="00AD575D"/>
    <w:rsid w:val="00AE15F6"/>
    <w:rsid w:val="00AE3C4E"/>
    <w:rsid w:val="00AE5A4B"/>
    <w:rsid w:val="00AE617E"/>
    <w:rsid w:val="00AF308B"/>
    <w:rsid w:val="00AF6EBF"/>
    <w:rsid w:val="00B00BDF"/>
    <w:rsid w:val="00B0388F"/>
    <w:rsid w:val="00B05E41"/>
    <w:rsid w:val="00B11E55"/>
    <w:rsid w:val="00B15B98"/>
    <w:rsid w:val="00B36457"/>
    <w:rsid w:val="00B37B68"/>
    <w:rsid w:val="00B430D0"/>
    <w:rsid w:val="00B532F9"/>
    <w:rsid w:val="00B66F2D"/>
    <w:rsid w:val="00B80B98"/>
    <w:rsid w:val="00B812DF"/>
    <w:rsid w:val="00B82F9D"/>
    <w:rsid w:val="00BA1F61"/>
    <w:rsid w:val="00BA3785"/>
    <w:rsid w:val="00BB4033"/>
    <w:rsid w:val="00BB67A4"/>
    <w:rsid w:val="00BB6E90"/>
    <w:rsid w:val="00BC3516"/>
    <w:rsid w:val="00BD5B2D"/>
    <w:rsid w:val="00BD7B19"/>
    <w:rsid w:val="00BE22C9"/>
    <w:rsid w:val="00BF215E"/>
    <w:rsid w:val="00BF35C1"/>
    <w:rsid w:val="00C017CC"/>
    <w:rsid w:val="00C04BD3"/>
    <w:rsid w:val="00C10CCE"/>
    <w:rsid w:val="00C16A4F"/>
    <w:rsid w:val="00C205EA"/>
    <w:rsid w:val="00C2305E"/>
    <w:rsid w:val="00C26131"/>
    <w:rsid w:val="00C26FDC"/>
    <w:rsid w:val="00C27015"/>
    <w:rsid w:val="00C350EE"/>
    <w:rsid w:val="00C40A8C"/>
    <w:rsid w:val="00C42081"/>
    <w:rsid w:val="00C52E04"/>
    <w:rsid w:val="00C6482A"/>
    <w:rsid w:val="00C73A73"/>
    <w:rsid w:val="00C83A2C"/>
    <w:rsid w:val="00C83F82"/>
    <w:rsid w:val="00C857CD"/>
    <w:rsid w:val="00C86FCE"/>
    <w:rsid w:val="00C90ABD"/>
    <w:rsid w:val="00CA2C95"/>
    <w:rsid w:val="00CB48D7"/>
    <w:rsid w:val="00CB7F54"/>
    <w:rsid w:val="00CD53B0"/>
    <w:rsid w:val="00CD701E"/>
    <w:rsid w:val="00CE081A"/>
    <w:rsid w:val="00CE28D7"/>
    <w:rsid w:val="00CF0996"/>
    <w:rsid w:val="00CF1BDF"/>
    <w:rsid w:val="00D100BA"/>
    <w:rsid w:val="00D10A7F"/>
    <w:rsid w:val="00D124E2"/>
    <w:rsid w:val="00D20DEE"/>
    <w:rsid w:val="00D242A7"/>
    <w:rsid w:val="00D35596"/>
    <w:rsid w:val="00D4342E"/>
    <w:rsid w:val="00D472E8"/>
    <w:rsid w:val="00D54D60"/>
    <w:rsid w:val="00D55D0B"/>
    <w:rsid w:val="00D56253"/>
    <w:rsid w:val="00D611EB"/>
    <w:rsid w:val="00D63134"/>
    <w:rsid w:val="00D65578"/>
    <w:rsid w:val="00D66692"/>
    <w:rsid w:val="00D668A0"/>
    <w:rsid w:val="00D73F20"/>
    <w:rsid w:val="00D80AB7"/>
    <w:rsid w:val="00D86F91"/>
    <w:rsid w:val="00D87C41"/>
    <w:rsid w:val="00D91A50"/>
    <w:rsid w:val="00D92005"/>
    <w:rsid w:val="00D95567"/>
    <w:rsid w:val="00D95D27"/>
    <w:rsid w:val="00DA13F1"/>
    <w:rsid w:val="00DB1C06"/>
    <w:rsid w:val="00DB2E10"/>
    <w:rsid w:val="00DB4AB3"/>
    <w:rsid w:val="00DC7D61"/>
    <w:rsid w:val="00DE0E2A"/>
    <w:rsid w:val="00DE19BC"/>
    <w:rsid w:val="00DE5CAF"/>
    <w:rsid w:val="00DF5C70"/>
    <w:rsid w:val="00E02267"/>
    <w:rsid w:val="00E03D78"/>
    <w:rsid w:val="00E05368"/>
    <w:rsid w:val="00E12C33"/>
    <w:rsid w:val="00E15BCB"/>
    <w:rsid w:val="00E15DC3"/>
    <w:rsid w:val="00E162FD"/>
    <w:rsid w:val="00E17D88"/>
    <w:rsid w:val="00E24BAF"/>
    <w:rsid w:val="00E34EFE"/>
    <w:rsid w:val="00E434F5"/>
    <w:rsid w:val="00E47679"/>
    <w:rsid w:val="00E55585"/>
    <w:rsid w:val="00E57EE6"/>
    <w:rsid w:val="00E6406B"/>
    <w:rsid w:val="00E66A97"/>
    <w:rsid w:val="00E748BC"/>
    <w:rsid w:val="00E918DF"/>
    <w:rsid w:val="00EB0047"/>
    <w:rsid w:val="00EB32EE"/>
    <w:rsid w:val="00EC032C"/>
    <w:rsid w:val="00ED234B"/>
    <w:rsid w:val="00ED3F7D"/>
    <w:rsid w:val="00EE3F76"/>
    <w:rsid w:val="00EE4843"/>
    <w:rsid w:val="00EF0D54"/>
    <w:rsid w:val="00EF3C18"/>
    <w:rsid w:val="00F01B2F"/>
    <w:rsid w:val="00F02AC8"/>
    <w:rsid w:val="00F14606"/>
    <w:rsid w:val="00F15CDA"/>
    <w:rsid w:val="00F204A8"/>
    <w:rsid w:val="00F20DE6"/>
    <w:rsid w:val="00F42569"/>
    <w:rsid w:val="00F4604D"/>
    <w:rsid w:val="00F47AAE"/>
    <w:rsid w:val="00F71C26"/>
    <w:rsid w:val="00F80787"/>
    <w:rsid w:val="00F86C8D"/>
    <w:rsid w:val="00F86F6E"/>
    <w:rsid w:val="00F93910"/>
    <w:rsid w:val="00FA6485"/>
    <w:rsid w:val="00FC5C62"/>
    <w:rsid w:val="00FD666A"/>
    <w:rsid w:val="00FE6188"/>
    <w:rsid w:val="00FF3F94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7C2C94"/>
  <w15:docId w15:val="{93C70658-9CE8-46E6-ABE2-79953E36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16" w:lineRule="auto"/>
      <w:ind w:firstLine="170"/>
      <w:jc w:val="both"/>
    </w:pPr>
    <w:rPr>
      <w:rFonts w:ascii="Tahoma" w:eastAsia="Tahoma" w:hAnsi="Tahoma" w:cs="Tahoma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16" w:lineRule="auto"/>
      <w:ind w:left="576" w:hanging="156"/>
      <w:outlineLvl w:val="0"/>
    </w:pPr>
    <w:rPr>
      <w:rFonts w:ascii="Tahoma" w:eastAsia="Tahoma" w:hAnsi="Tahoma" w:cs="Tahoma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right="12" w:hanging="10"/>
      <w:jc w:val="center"/>
      <w:outlineLvl w:val="1"/>
    </w:pPr>
    <w:rPr>
      <w:rFonts w:ascii="Tahoma" w:eastAsia="Tahoma" w:hAnsi="Tahoma" w:cs="Tahoma"/>
      <w:color w:val="00000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ahoma" w:eastAsia="Tahoma" w:hAnsi="Tahoma" w:cs="Tahoma"/>
      <w:color w:val="000000"/>
      <w:sz w:val="30"/>
    </w:rPr>
  </w:style>
  <w:style w:type="character" w:customStyle="1" w:styleId="Heading1Char">
    <w:name w:val="Heading 1 Char"/>
    <w:link w:val="Heading1"/>
    <w:rPr>
      <w:rFonts w:ascii="Tahoma" w:eastAsia="Tahoma" w:hAnsi="Tahoma" w:cs="Tahoma"/>
      <w:b/>
      <w:color w:val="000000"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B2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22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222D"/>
    <w:rPr>
      <w:rFonts w:ascii="Tahoma" w:eastAsia="Tahoma" w:hAnsi="Tahoma" w:cs="Tahoma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22D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E17D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85"/>
    <w:rPr>
      <w:rFonts w:ascii="Segoe UI" w:eastAsia="Tahoma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1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8FB"/>
    <w:rPr>
      <w:rFonts w:ascii="Tahoma" w:eastAsia="Tahoma" w:hAnsi="Tahoma" w:cs="Tahoma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21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8FB"/>
    <w:rPr>
      <w:rFonts w:ascii="Tahoma" w:eastAsia="Tahoma" w:hAnsi="Tahoma" w:cs="Tahoma"/>
      <w:color w:val="000000"/>
    </w:rPr>
  </w:style>
  <w:style w:type="paragraph" w:styleId="Revision">
    <w:name w:val="Revision"/>
    <w:hidden/>
    <w:uiPriority w:val="99"/>
    <w:semiHidden/>
    <w:rsid w:val="00F42569"/>
    <w:pPr>
      <w:spacing w:after="0" w:line="240" w:lineRule="auto"/>
    </w:pPr>
    <w:rPr>
      <w:rFonts w:ascii="Tahoma" w:eastAsia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8D0DD-3E9B-4279-A582-492E7A826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Верзија за штампу</vt:lpstr>
    </vt:vector>
  </TitlesOfParts>
  <Company/>
  <LinksUpToDate>false</LinksUpToDate>
  <CharactersWithSpaces>16539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Верзија за штампу</dc:title>
  <dc:subject/>
  <dc:creator>Milos Petrovic</dc:creator>
  <cp:keywords/>
  <cp:lastModifiedBy>Bojan Grgic</cp:lastModifiedBy>
  <cp:revision>2</cp:revision>
  <cp:lastPrinted>2021-07-02T09:14:00Z</cp:lastPrinted>
  <dcterms:created xsi:type="dcterms:W3CDTF">2021-07-02T12:03:00Z</dcterms:created>
  <dcterms:modified xsi:type="dcterms:W3CDTF">2021-07-02T12:03:00Z</dcterms:modified>
</cp:coreProperties>
</file>